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FC9" w:rsidRDefault="00727FC9">
      <w:pPr>
        <w:pStyle w:val="ac"/>
        <w:adjustRightInd w:val="0"/>
        <w:snapToGrid w:val="0"/>
        <w:spacing w:line="560" w:lineRule="exact"/>
        <w:ind w:firstLineChars="0" w:firstLine="0"/>
        <w:rPr>
          <w:rFonts w:ascii="Times New Roman" w:eastAsia="黑体" w:hAnsi="Times New Roman" w:cs="Times New Roman"/>
          <w:sz w:val="32"/>
        </w:rPr>
      </w:pPr>
      <w:r>
        <w:rPr>
          <w:rFonts w:ascii="Times New Roman" w:eastAsia="黑体" w:hAnsi="Times New Roman" w:cs="Times New Roman"/>
          <w:sz w:val="32"/>
        </w:rPr>
        <w:t>附件</w:t>
      </w:r>
      <w:r>
        <w:rPr>
          <w:rFonts w:ascii="Times New Roman" w:eastAsia="黑体" w:hAnsi="Times New Roman" w:cs="Times New Roman"/>
          <w:sz w:val="32"/>
        </w:rPr>
        <w:t>2</w:t>
      </w:r>
    </w:p>
    <w:p w:rsidR="00727FC9" w:rsidRDefault="00727FC9">
      <w:pPr>
        <w:pStyle w:val="ac"/>
        <w:adjustRightInd w:val="0"/>
        <w:snapToGrid w:val="0"/>
        <w:spacing w:line="560" w:lineRule="exact"/>
        <w:ind w:firstLineChars="0" w:firstLine="0"/>
        <w:jc w:val="center"/>
        <w:outlineLvl w:val="0"/>
        <w:rPr>
          <w:rFonts w:ascii="Times New Roman" w:eastAsia="方正小标宋简体" w:hAnsi="Times New Roman" w:cs="Times New Roman"/>
          <w:sz w:val="44"/>
          <w:szCs w:val="44"/>
        </w:rPr>
      </w:pPr>
      <w:bookmarkStart w:id="0" w:name="_Toc155873749"/>
      <w:r>
        <w:rPr>
          <w:rFonts w:ascii="Times New Roman" w:eastAsia="方正小标宋简体" w:hAnsi="Times New Roman" w:cs="Times New Roman"/>
          <w:sz w:val="44"/>
          <w:szCs w:val="44"/>
        </w:rPr>
        <w:t>2023</w:t>
      </w:r>
      <w:r>
        <w:rPr>
          <w:rFonts w:ascii="Times New Roman" w:eastAsia="方正小标宋简体" w:hAnsi="Times New Roman" w:cs="Times New Roman"/>
          <w:sz w:val="44"/>
          <w:szCs w:val="44"/>
        </w:rPr>
        <w:t>年发布的医疗器械行业标准清单</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007"/>
        <w:gridCol w:w="3132"/>
        <w:gridCol w:w="1510"/>
        <w:gridCol w:w="1584"/>
        <w:gridCol w:w="2720"/>
        <w:gridCol w:w="1835"/>
      </w:tblGrid>
      <w:tr w:rsidR="00727FC9">
        <w:trPr>
          <w:cantSplit/>
          <w:trHeight w:val="737"/>
          <w:tblHeader/>
          <w:jc w:val="center"/>
        </w:trPr>
        <w:tc>
          <w:tcPr>
            <w:tcW w:w="317" w:type="pct"/>
            <w:noWrap/>
            <w:vAlign w:val="center"/>
          </w:tcPr>
          <w:p w:rsidR="00727FC9" w:rsidRDefault="00727FC9">
            <w:pPr>
              <w:widowControl/>
              <w:jc w:val="center"/>
              <w:rPr>
                <w:rFonts w:ascii="Times New Roman" w:eastAsia="黑体" w:hAnsi="Times New Roman" w:cs="Times New Roman"/>
                <w:bCs/>
                <w:color w:val="000000"/>
                <w:kern w:val="0"/>
                <w:sz w:val="24"/>
                <w:szCs w:val="24"/>
              </w:rPr>
            </w:pPr>
            <w:r>
              <w:rPr>
                <w:rFonts w:ascii="Times New Roman" w:eastAsia="黑体" w:hAnsi="Times New Roman" w:cs="Times New Roman"/>
                <w:bCs/>
                <w:color w:val="000000"/>
                <w:kern w:val="0"/>
                <w:sz w:val="24"/>
                <w:szCs w:val="24"/>
              </w:rPr>
              <w:t>序号</w:t>
            </w:r>
          </w:p>
        </w:tc>
        <w:tc>
          <w:tcPr>
            <w:tcW w:w="735" w:type="pct"/>
            <w:vAlign w:val="center"/>
          </w:tcPr>
          <w:p w:rsidR="00727FC9" w:rsidRDefault="00727FC9">
            <w:pPr>
              <w:widowControl/>
              <w:jc w:val="center"/>
              <w:rPr>
                <w:rFonts w:ascii="Times New Roman" w:eastAsia="黑体" w:hAnsi="Times New Roman" w:cs="Times New Roman"/>
                <w:bCs/>
                <w:kern w:val="0"/>
                <w:sz w:val="24"/>
                <w:szCs w:val="24"/>
              </w:rPr>
            </w:pPr>
            <w:r>
              <w:rPr>
                <w:rFonts w:ascii="Times New Roman" w:eastAsia="黑体" w:hAnsi="Times New Roman" w:cs="Times New Roman"/>
                <w:bCs/>
                <w:kern w:val="0"/>
                <w:sz w:val="24"/>
                <w:szCs w:val="24"/>
              </w:rPr>
              <w:t>标准编号</w:t>
            </w:r>
          </w:p>
        </w:tc>
        <w:tc>
          <w:tcPr>
            <w:tcW w:w="1147" w:type="pct"/>
            <w:vAlign w:val="center"/>
          </w:tcPr>
          <w:p w:rsidR="00727FC9" w:rsidRDefault="00727FC9">
            <w:pPr>
              <w:jc w:val="center"/>
              <w:rPr>
                <w:rFonts w:ascii="Times New Roman" w:eastAsia="黑体" w:hAnsi="Times New Roman" w:cs="Times New Roman"/>
                <w:bCs/>
                <w:kern w:val="0"/>
                <w:sz w:val="24"/>
                <w:szCs w:val="24"/>
              </w:rPr>
            </w:pPr>
            <w:r>
              <w:rPr>
                <w:rFonts w:ascii="Times New Roman" w:eastAsia="黑体" w:hAnsi="Times New Roman" w:cs="Times New Roman"/>
                <w:bCs/>
                <w:kern w:val="0"/>
                <w:sz w:val="24"/>
                <w:szCs w:val="24"/>
              </w:rPr>
              <w:t>标准名称</w:t>
            </w:r>
          </w:p>
        </w:tc>
        <w:tc>
          <w:tcPr>
            <w:tcW w:w="553" w:type="pct"/>
            <w:vAlign w:val="center"/>
          </w:tcPr>
          <w:p w:rsidR="00727FC9" w:rsidRDefault="00727FC9">
            <w:pPr>
              <w:jc w:val="center"/>
              <w:rPr>
                <w:rFonts w:ascii="Times New Roman" w:eastAsia="黑体" w:hAnsi="Times New Roman" w:cs="Times New Roman"/>
                <w:bCs/>
                <w:kern w:val="0"/>
                <w:sz w:val="24"/>
                <w:szCs w:val="24"/>
              </w:rPr>
            </w:pPr>
            <w:r>
              <w:rPr>
                <w:rFonts w:ascii="Times New Roman" w:eastAsia="黑体" w:hAnsi="Times New Roman" w:cs="Times New Roman"/>
                <w:bCs/>
                <w:kern w:val="0"/>
                <w:sz w:val="24"/>
                <w:szCs w:val="24"/>
              </w:rPr>
              <w:t>发布日期</w:t>
            </w:r>
          </w:p>
        </w:tc>
        <w:tc>
          <w:tcPr>
            <w:tcW w:w="580" w:type="pct"/>
            <w:vAlign w:val="center"/>
          </w:tcPr>
          <w:p w:rsidR="00727FC9" w:rsidRDefault="00727FC9">
            <w:pPr>
              <w:jc w:val="center"/>
              <w:rPr>
                <w:rFonts w:ascii="Times New Roman" w:eastAsia="黑体" w:hAnsi="Times New Roman" w:cs="Times New Roman"/>
                <w:bCs/>
                <w:kern w:val="0"/>
                <w:sz w:val="24"/>
                <w:szCs w:val="24"/>
              </w:rPr>
            </w:pPr>
            <w:r>
              <w:rPr>
                <w:rFonts w:ascii="Times New Roman" w:eastAsia="黑体" w:hAnsi="Times New Roman" w:cs="Times New Roman"/>
                <w:bCs/>
                <w:kern w:val="0"/>
                <w:sz w:val="24"/>
                <w:szCs w:val="24"/>
              </w:rPr>
              <w:t>实施日期</w:t>
            </w:r>
          </w:p>
        </w:tc>
        <w:tc>
          <w:tcPr>
            <w:tcW w:w="996" w:type="pct"/>
            <w:vAlign w:val="center"/>
          </w:tcPr>
          <w:p w:rsidR="00727FC9" w:rsidRDefault="00727FC9">
            <w:pPr>
              <w:jc w:val="center"/>
              <w:rPr>
                <w:rFonts w:ascii="Times New Roman" w:eastAsia="黑体" w:hAnsi="Times New Roman" w:cs="Times New Roman"/>
                <w:bCs/>
                <w:kern w:val="0"/>
                <w:sz w:val="24"/>
                <w:szCs w:val="24"/>
              </w:rPr>
            </w:pPr>
            <w:r>
              <w:rPr>
                <w:rFonts w:ascii="Times New Roman" w:eastAsia="黑体" w:hAnsi="Times New Roman" w:cs="Times New Roman"/>
                <w:bCs/>
                <w:kern w:val="0"/>
                <w:sz w:val="24"/>
                <w:szCs w:val="24"/>
              </w:rPr>
              <w:t>归口单位</w:t>
            </w:r>
          </w:p>
        </w:tc>
        <w:tc>
          <w:tcPr>
            <w:tcW w:w="672" w:type="pct"/>
            <w:vAlign w:val="center"/>
          </w:tcPr>
          <w:p w:rsidR="00727FC9" w:rsidRDefault="00727FC9">
            <w:pPr>
              <w:jc w:val="center"/>
              <w:rPr>
                <w:rFonts w:ascii="Times New Roman" w:eastAsia="黑体" w:hAnsi="Times New Roman" w:cs="Times New Roman"/>
                <w:bCs/>
                <w:kern w:val="0"/>
                <w:sz w:val="24"/>
                <w:szCs w:val="24"/>
              </w:rPr>
            </w:pPr>
            <w:r>
              <w:rPr>
                <w:rFonts w:ascii="Times New Roman" w:eastAsia="黑体" w:hAnsi="Times New Roman" w:cs="Times New Roman"/>
                <w:bCs/>
                <w:kern w:val="0"/>
                <w:sz w:val="24"/>
                <w:szCs w:val="24"/>
              </w:rPr>
              <w:t>发布公告</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0054—2023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血液透析设备</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全国医用体外循环设备标准化技术委员会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2</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0506.1—2023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医用手术单、手术衣和洁净服</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1</w:t>
            </w:r>
            <w:r>
              <w:rPr>
                <w:rFonts w:ascii="Times New Roman" w:eastAsia="仿宋_GB2312" w:hAnsi="Times New Roman" w:cs="Times New Roman"/>
                <w:bCs/>
                <w:kern w:val="0"/>
                <w:sz w:val="24"/>
                <w:szCs w:val="24"/>
              </w:rPr>
              <w:t>部分：通用要求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山东省医疗器械和药品包装检验研究院</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3</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0606.15—2023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组织工程医疗产品</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评价基质及支架免疫反应的试验方法：淋巴细胞增殖试验</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全国外科植入物和矫形器械标准化技术委员会组织工程医疗器械产品分技术委员会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4</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0720—2023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一次性使用产包</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通用要求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全国计划生育器械标准化技术委员会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5</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0730—2023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心血管外科植入物和人工器官</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心肺旁路和体外膜肺氧合（</w:t>
            </w:r>
            <w:r>
              <w:rPr>
                <w:rFonts w:ascii="Times New Roman" w:eastAsia="仿宋_GB2312" w:hAnsi="Times New Roman" w:cs="Times New Roman"/>
                <w:bCs/>
                <w:kern w:val="0"/>
                <w:sz w:val="24"/>
                <w:szCs w:val="24"/>
              </w:rPr>
              <w:t>ECMO</w:t>
            </w:r>
            <w:r>
              <w:rPr>
                <w:rFonts w:ascii="Times New Roman" w:eastAsia="仿宋_GB2312" w:hAnsi="Times New Roman" w:cs="Times New Roman"/>
                <w:bCs/>
                <w:kern w:val="0"/>
                <w:sz w:val="24"/>
                <w:szCs w:val="24"/>
              </w:rPr>
              <w:t>）使用的一次性使用管道套包的要求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全国医用体外循环设备标准化技术委员会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6</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0777—2023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射频热疗设备</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全国医用电器标准化技术委员会物理治疗设备分技术委员会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7</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0870.7—2023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医疗器械遗传毒性试验</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7</w:t>
            </w:r>
            <w:r>
              <w:rPr>
                <w:rFonts w:ascii="Times New Roman" w:eastAsia="仿宋_GB2312" w:hAnsi="Times New Roman" w:cs="Times New Roman"/>
                <w:bCs/>
                <w:kern w:val="0"/>
                <w:sz w:val="24"/>
                <w:szCs w:val="24"/>
              </w:rPr>
              <w:t>部分：哺乳动物体内碱性</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彗星试验</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全国医疗器械生物学评价标准化技术委员会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lastRenderedPageBreak/>
              <w:t>8</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1106—2023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电动手术台</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全国医用电器标准化技术委员会医用电子仪器分技术委员会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9</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1199—2023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甘油三酯测定试剂盒（酶法）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2023/7/15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全国医用临床检验实验室和体外诊断系统标准化技术委员会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10</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1240—2023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D-</w:t>
            </w:r>
            <w:r>
              <w:rPr>
                <w:rFonts w:ascii="Times New Roman" w:eastAsia="仿宋_GB2312" w:hAnsi="Times New Roman" w:cs="Times New Roman"/>
                <w:bCs/>
                <w:kern w:val="0"/>
                <w:sz w:val="24"/>
                <w:szCs w:val="24"/>
              </w:rPr>
              <w:t>二聚体测定试剂盒</w:t>
            </w:r>
            <w:r>
              <w:rPr>
                <w:rFonts w:ascii="Times New Roman" w:eastAsia="仿宋_GB2312" w:hAnsi="Times New Roman" w:cs="Times New Roman"/>
                <w:bCs/>
                <w:kern w:val="0"/>
                <w:sz w:val="24"/>
                <w:szCs w:val="24"/>
              </w:rPr>
              <w:br/>
            </w:r>
            <w:r>
              <w:rPr>
                <w:rFonts w:ascii="Times New Roman" w:eastAsia="仿宋_GB2312" w:hAnsi="Times New Roman" w:cs="Times New Roman" w:hint="eastAsia"/>
                <w:bCs/>
                <w:kern w:val="0"/>
                <w:sz w:val="24"/>
                <w:szCs w:val="24"/>
              </w:rPr>
              <w:t>（</w:t>
            </w:r>
            <w:r>
              <w:rPr>
                <w:rFonts w:ascii="Times New Roman" w:eastAsia="仿宋_GB2312" w:hAnsi="Times New Roman" w:cs="Times New Roman"/>
                <w:bCs/>
                <w:kern w:val="0"/>
                <w:sz w:val="24"/>
                <w:szCs w:val="24"/>
              </w:rPr>
              <w:t>免疫比浊法</w:t>
            </w:r>
            <w:r>
              <w:rPr>
                <w:rFonts w:ascii="Times New Roman" w:eastAsia="仿宋_GB2312" w:hAnsi="Times New Roman" w:cs="Times New Roman" w:hint="eastAsia"/>
                <w:bCs/>
                <w:kern w:val="0"/>
                <w:sz w:val="24"/>
                <w:szCs w:val="24"/>
              </w:rPr>
              <w:t>）</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2023/7/15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全国医用临床检验实验室和体外诊断系统标准化技术委员会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11</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1473—2023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医疗器械标准化工作指南</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涉及安全内容的标准制定</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全国医疗器械质量管理和通用要求标准化技术委员会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12</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1719—2023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正电子发射断层成像及磁共振成像设备通用技术要求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全国医用电器标准化技术委员会医用电子仪器分技术委员会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376"/>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13</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1789.6—2023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体外诊断检验系统</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性能评价方法</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6</w:t>
            </w:r>
            <w:r>
              <w:rPr>
                <w:rFonts w:ascii="Times New Roman" w:eastAsia="仿宋_GB2312" w:hAnsi="Times New Roman" w:cs="Times New Roman"/>
                <w:bCs/>
                <w:kern w:val="0"/>
                <w:sz w:val="24"/>
                <w:szCs w:val="24"/>
              </w:rPr>
              <w:t>部分：定性试剂的精密度、诊断灵敏度和</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特异性</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全国医用临床检验实验室和体外诊断系统标准化技术委员会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14</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1840—2023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医用磁共振成像设备通用</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技术条件</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全国医用电器标准化技术委员会医用电子仪器分技术委员会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15</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1842.7—2023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医疗器械</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医用贮液容器输送系统用连接件</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7</w:t>
            </w:r>
            <w:r>
              <w:rPr>
                <w:rFonts w:ascii="Times New Roman" w:eastAsia="仿宋_GB2312" w:hAnsi="Times New Roman" w:cs="Times New Roman"/>
                <w:bCs/>
                <w:kern w:val="0"/>
                <w:sz w:val="24"/>
                <w:szCs w:val="24"/>
              </w:rPr>
              <w:t>部分：血管内输液用连接件</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全国医用输液器具标准化技术委员会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lastRenderedPageBreak/>
              <w:t>16</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1850—2023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男用避孕套</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聚氨酯避孕套的技术要求与试验方法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全国计划生育器械标准化技术委员会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17</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1861—2023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医学影像存储与传输系统软件专用技术条件</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w:t>
            </w:r>
            <w:r>
              <w:rPr>
                <w:rFonts w:ascii="Times New Roman" w:eastAsia="仿宋_GB2312" w:hAnsi="Times New Roman" w:cs="Times New Roman"/>
                <w:bCs/>
                <w:kern w:val="0"/>
                <w:sz w:val="24"/>
                <w:szCs w:val="24"/>
              </w:rPr>
              <w:t>X</w:t>
            </w:r>
            <w:r>
              <w:rPr>
                <w:rFonts w:ascii="Times New Roman" w:eastAsia="仿宋_GB2312" w:hAnsi="Times New Roman" w:cs="Times New Roman"/>
                <w:bCs/>
                <w:kern w:val="0"/>
                <w:sz w:val="24"/>
                <w:szCs w:val="24"/>
              </w:rPr>
              <w:t>射线设备及用具分技术委员会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18</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1862—2023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冠状动脉</w:t>
            </w:r>
            <w:r>
              <w:rPr>
                <w:rFonts w:ascii="Times New Roman" w:eastAsia="仿宋_GB2312" w:hAnsi="Times New Roman" w:cs="Times New Roman"/>
                <w:bCs/>
                <w:kern w:val="0"/>
                <w:sz w:val="24"/>
                <w:szCs w:val="24"/>
              </w:rPr>
              <w:t>CT</w:t>
            </w:r>
            <w:r>
              <w:rPr>
                <w:rFonts w:ascii="Times New Roman" w:eastAsia="仿宋_GB2312" w:hAnsi="Times New Roman" w:cs="Times New Roman"/>
                <w:bCs/>
                <w:kern w:val="0"/>
                <w:sz w:val="24"/>
                <w:szCs w:val="24"/>
              </w:rPr>
              <w:t>影像处理软件专用技术条件</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w:t>
            </w:r>
            <w:r>
              <w:rPr>
                <w:rFonts w:ascii="Times New Roman" w:eastAsia="仿宋_GB2312" w:hAnsi="Times New Roman" w:cs="Times New Roman"/>
                <w:bCs/>
                <w:kern w:val="0"/>
                <w:sz w:val="24"/>
                <w:szCs w:val="24"/>
              </w:rPr>
              <w:t>X</w:t>
            </w:r>
            <w:r>
              <w:rPr>
                <w:rFonts w:ascii="Times New Roman" w:eastAsia="仿宋_GB2312" w:hAnsi="Times New Roman" w:cs="Times New Roman"/>
                <w:bCs/>
                <w:kern w:val="0"/>
                <w:sz w:val="24"/>
                <w:szCs w:val="24"/>
              </w:rPr>
              <w:t>射线设备及用具分技术委员会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19</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1863—2023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纳米医疗器械生物学评价</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含纳米银敷料中纳米银颗粒和银离子的释放与表征方法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全国医疗器械生物学评价标准化技术委员会纳米医疗器械生物学评价分技术委员会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20</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1867—2023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46" w:left="-97" w:rightChars="-46" w:right="-97"/>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运动医学植入器械</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带线锚钉</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全国外科植入物和矫形器械标准化技术委员会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21</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1868—2023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乙型肝炎病毒核心抗体检测试剂盒（发光免疫分析法）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全国医用临床检验实验室和体外诊断系统标准化技术委员会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22</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1869—2023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探测器阵列剂量测量系统</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性能和试验方法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2024/7/15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全国医用电器标准化技术委员会放射治疗、核医学和放射剂量学设备分技术委员会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23</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1870—2023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液相色谱</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质谱法测定试剂盒通用要求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全国医用临床检验实验室和体外诊断系统标准化技术委员会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lastRenderedPageBreak/>
              <w:t>24</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1871—2023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医用隔离衣</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山东省医疗器械和药品包装检验研究院</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25</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1876—2023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组织工程医疗产品</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动物源性生物材料</w:t>
            </w:r>
            <w:r>
              <w:rPr>
                <w:rFonts w:ascii="Times New Roman" w:eastAsia="仿宋_GB2312" w:hAnsi="Times New Roman" w:cs="Times New Roman"/>
                <w:bCs/>
                <w:kern w:val="0"/>
                <w:sz w:val="24"/>
                <w:szCs w:val="24"/>
              </w:rPr>
              <w:t>DNA</w:t>
            </w:r>
            <w:r>
              <w:rPr>
                <w:rFonts w:ascii="Times New Roman" w:eastAsia="仿宋_GB2312" w:hAnsi="Times New Roman" w:cs="Times New Roman"/>
                <w:bCs/>
                <w:kern w:val="0"/>
                <w:sz w:val="24"/>
                <w:szCs w:val="24"/>
              </w:rPr>
              <w:t>残留量</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测定法：荧光染色法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全国外科植入物和矫形器械标准化技术委员会组织工程医疗器械产品分技术委员会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26</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1878—2023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正电子发射断层成像装置数字化技术要求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2024/7/15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全国医用电器标准化技术委员会放射治疗、核医学和放射剂量学设备分技术委员会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27</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1886—2023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牙科学</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胶囊装银汞合金</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全国口腔材料和器械设备标准化技术委员会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28</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9706.230—2023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医用电气设备</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2-30</w:t>
            </w:r>
            <w:r>
              <w:rPr>
                <w:rFonts w:ascii="Times New Roman" w:eastAsia="仿宋_GB2312" w:hAnsi="Times New Roman" w:cs="Times New Roman"/>
                <w:bCs/>
                <w:kern w:val="0"/>
                <w:sz w:val="24"/>
                <w:szCs w:val="24"/>
              </w:rPr>
              <w:t>部分</w:t>
            </w:r>
            <w:r>
              <w:rPr>
                <w:rFonts w:ascii="Times New Roman" w:eastAsia="仿宋_GB2312" w:hAnsi="Times New Roman" w:cs="Times New Roman" w:hint="eastAsia"/>
                <w:bCs/>
                <w:kern w:val="0"/>
                <w:sz w:val="24"/>
                <w:szCs w:val="24"/>
              </w:rPr>
              <w:t>：</w:t>
            </w:r>
            <w:r>
              <w:rPr>
                <w:rFonts w:ascii="Times New Roman" w:eastAsia="仿宋_GB2312" w:hAnsi="Times New Roman" w:cs="Times New Roman"/>
                <w:bCs/>
                <w:kern w:val="0"/>
                <w:sz w:val="24"/>
                <w:szCs w:val="24"/>
              </w:rPr>
              <w:t>自动无创血压计的基本安全和基本性能专用要求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全国医用电器标准化技术委员会医用电子仪器分技术委员会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29</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9706.246—2023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医用电气设备</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2-46</w:t>
            </w:r>
            <w:r>
              <w:rPr>
                <w:rFonts w:ascii="Times New Roman" w:eastAsia="仿宋_GB2312" w:hAnsi="Times New Roman" w:cs="Times New Roman"/>
                <w:bCs/>
                <w:kern w:val="0"/>
                <w:sz w:val="24"/>
                <w:szCs w:val="24"/>
              </w:rPr>
              <w:t>部分</w:t>
            </w:r>
            <w:r>
              <w:rPr>
                <w:rFonts w:ascii="Times New Roman" w:eastAsia="仿宋_GB2312" w:hAnsi="Times New Roman" w:cs="Times New Roman" w:hint="eastAsia"/>
                <w:bCs/>
                <w:kern w:val="0"/>
                <w:sz w:val="24"/>
                <w:szCs w:val="24"/>
              </w:rPr>
              <w:t>：</w:t>
            </w:r>
            <w:r>
              <w:rPr>
                <w:rFonts w:ascii="Times New Roman" w:eastAsia="仿宋_GB2312" w:hAnsi="Times New Roman" w:cs="Times New Roman"/>
                <w:bCs/>
                <w:kern w:val="0"/>
                <w:sz w:val="24"/>
                <w:szCs w:val="24"/>
              </w:rPr>
              <w:t>手术台的基本安全和基本性能专用要求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全国医用电器标准化技术委员会医用电子仪器分技术委员会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30</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9706.249—2023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医用电气设备</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2-49</w:t>
            </w:r>
            <w:r>
              <w:rPr>
                <w:rFonts w:ascii="Times New Roman" w:eastAsia="仿宋_GB2312" w:hAnsi="Times New Roman" w:cs="Times New Roman"/>
                <w:bCs/>
                <w:kern w:val="0"/>
                <w:sz w:val="24"/>
                <w:szCs w:val="24"/>
              </w:rPr>
              <w:t>部分</w:t>
            </w:r>
            <w:r>
              <w:rPr>
                <w:rFonts w:ascii="Times New Roman" w:eastAsia="仿宋_GB2312" w:hAnsi="Times New Roman" w:cs="Times New Roman" w:hint="eastAsia"/>
                <w:bCs/>
                <w:kern w:val="0"/>
                <w:sz w:val="24"/>
                <w:szCs w:val="24"/>
              </w:rPr>
              <w:t>：</w:t>
            </w:r>
            <w:r>
              <w:rPr>
                <w:rFonts w:ascii="Times New Roman" w:eastAsia="仿宋_GB2312" w:hAnsi="Times New Roman" w:cs="Times New Roman"/>
                <w:bCs/>
                <w:kern w:val="0"/>
                <w:sz w:val="24"/>
                <w:szCs w:val="24"/>
              </w:rPr>
              <w:t>多参数患者监护仪的基本安全和基本性能专用要求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全国医用电器标准化技术委员会医用电子仪器分技术委员会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849"/>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31</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9706.261—2023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医用电气设备</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2-61</w:t>
            </w:r>
            <w:r>
              <w:rPr>
                <w:rFonts w:ascii="Times New Roman" w:eastAsia="仿宋_GB2312" w:hAnsi="Times New Roman" w:cs="Times New Roman"/>
                <w:bCs/>
                <w:kern w:val="0"/>
                <w:sz w:val="24"/>
                <w:szCs w:val="24"/>
              </w:rPr>
              <w:t>部分</w:t>
            </w:r>
            <w:r>
              <w:rPr>
                <w:rFonts w:ascii="Times New Roman" w:eastAsia="仿宋_GB2312" w:hAnsi="Times New Roman" w:cs="Times New Roman" w:hint="eastAsia"/>
                <w:bCs/>
                <w:kern w:val="0"/>
                <w:sz w:val="24"/>
                <w:szCs w:val="24"/>
              </w:rPr>
              <w:t>：</w:t>
            </w:r>
            <w:r>
              <w:rPr>
                <w:rFonts w:ascii="Times New Roman" w:eastAsia="仿宋_GB2312" w:hAnsi="Times New Roman" w:cs="Times New Roman"/>
                <w:bCs/>
                <w:kern w:val="0"/>
                <w:sz w:val="24"/>
                <w:szCs w:val="24"/>
              </w:rPr>
              <w:t>脉搏血氧设备的基本安全和基本性能专用要求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全国医用电器标准化技术委员会医用电子仪器分技术委员会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lastRenderedPageBreak/>
              <w:t>32</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9706.277—2023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医用电气设备</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2-77</w:t>
            </w:r>
            <w:r>
              <w:rPr>
                <w:rFonts w:ascii="Times New Roman" w:eastAsia="仿宋_GB2312" w:hAnsi="Times New Roman" w:cs="Times New Roman"/>
                <w:bCs/>
                <w:kern w:val="0"/>
                <w:sz w:val="24"/>
                <w:szCs w:val="24"/>
              </w:rPr>
              <w:t>部分：采用机器人技术的辅助手术设备的基本安全和基本性能专用要求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2023/1/13</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2026/1/15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全国医用电器标准化技术委员会医用电子仪器分技术委员会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33</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1888—2023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重组人源化胶原蛋白</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2023/1/18</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2023/7/20</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国家药监局医疗器械技术审评中心</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14</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34</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0128—2023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医用诊断</w:t>
            </w:r>
            <w:r>
              <w:rPr>
                <w:rFonts w:ascii="Times New Roman" w:eastAsia="仿宋_GB2312" w:hAnsi="Times New Roman" w:cs="Times New Roman"/>
                <w:bCs/>
                <w:kern w:val="0"/>
                <w:sz w:val="24"/>
                <w:szCs w:val="24"/>
              </w:rPr>
              <w:t>X</w:t>
            </w:r>
            <w:r>
              <w:rPr>
                <w:rFonts w:ascii="Times New Roman" w:eastAsia="仿宋_GB2312" w:hAnsi="Times New Roman" w:cs="Times New Roman"/>
                <w:bCs/>
                <w:kern w:val="0"/>
                <w:sz w:val="24"/>
                <w:szCs w:val="24"/>
              </w:rPr>
              <w:t>射线辐射防护器具</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装置及用具</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w:t>
            </w:r>
            <w:r>
              <w:rPr>
                <w:rFonts w:ascii="Times New Roman" w:eastAsia="仿宋_GB2312" w:hAnsi="Times New Roman" w:cs="Times New Roman"/>
                <w:bCs/>
                <w:kern w:val="0"/>
                <w:sz w:val="24"/>
                <w:szCs w:val="24"/>
              </w:rPr>
              <w:t>X</w:t>
            </w:r>
            <w:r>
              <w:rPr>
                <w:rFonts w:ascii="Times New Roman" w:eastAsia="仿宋_GB2312" w:hAnsi="Times New Roman" w:cs="Times New Roman"/>
                <w:bCs/>
                <w:kern w:val="0"/>
                <w:sz w:val="24"/>
                <w:szCs w:val="24"/>
              </w:rPr>
              <w:t>射线设备及用具分技术委员会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35</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0499—2023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麻醉和呼吸设备</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气管插管用喉镜</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全国麻醉和呼吸设备标准化技术委员会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36</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0688.1—2023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感染病原体敏感性试验与抗微生物药物敏感性试验设备的性能评价</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1</w:t>
            </w:r>
            <w:r>
              <w:rPr>
                <w:rFonts w:ascii="Times New Roman" w:eastAsia="仿宋_GB2312" w:hAnsi="Times New Roman" w:cs="Times New Roman"/>
                <w:bCs/>
                <w:kern w:val="0"/>
                <w:sz w:val="24"/>
                <w:szCs w:val="24"/>
              </w:rPr>
              <w:t>部分：抗微生物药物对感染性疾病相关的快速生长需氧菌的体外活性检测的肉汤微量稀释参考方法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全国医用临床检验实验室和体外诊断系统标准化技术委员会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37</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0970—2023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医疗保健产品灭菌</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一次性使用动物源性医疗器械的液体化学灭菌剂</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医疗器械灭菌过程的特征、开发、确认和常规控制的要求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全国消毒技术与设备标准化技术委员会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lastRenderedPageBreak/>
              <w:t>38</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1268—2023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环氧乙烷灭菌的产品追加和过程等效</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全国消毒技术与设备标准化技术委员会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39</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1411—2023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牙科学</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牙科治疗机水路生物膜处理的试验方法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全国口腔材料和器械设备标准化技术委员会齿科设备与器械分技术</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40</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1789.5—2023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体外诊断检验系统</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性能评价方法</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5</w:t>
            </w:r>
            <w:r>
              <w:rPr>
                <w:rFonts w:ascii="Times New Roman" w:eastAsia="仿宋_GB2312" w:hAnsi="Times New Roman" w:cs="Times New Roman"/>
                <w:bCs/>
                <w:kern w:val="0"/>
                <w:sz w:val="24"/>
                <w:szCs w:val="24"/>
              </w:rPr>
              <w:t>部分：分析</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特异性</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全国医用临床检验实验室和体外诊断系统标准化技术委员会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41</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1856—2023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血液、静脉药液、灌洗液加温器安全通用要求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2025/5/1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全国医用输液器具标准化技术委员会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42</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1866—2023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一次性使用无菌肛肠套扎器</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胶圈或弹力线式</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全国外科器械标准化</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43</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1874—2023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有源植入式医疗器械</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电磁兼容</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植入式心脏起搏器、植入式心律转复除颤器和心脏再同步器械的电磁兼容测试细则</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全国外科植入物和矫形器械标准化技术委员会有源植入物分技术</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44</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1882—2023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梅毒螺旋体抗体检测试剂盒（发光免疫分析法）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2024/11/1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全国医用临床检验实验室和体外诊断系统标准化技术委员会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45</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1883—2023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Rh</w:t>
            </w:r>
            <w:r>
              <w:rPr>
                <w:rFonts w:ascii="Times New Roman" w:eastAsia="仿宋_GB2312" w:hAnsi="Times New Roman" w:cs="Times New Roman"/>
                <w:bCs/>
                <w:kern w:val="0"/>
                <w:sz w:val="24"/>
                <w:szCs w:val="24"/>
              </w:rPr>
              <w:t>血型</w:t>
            </w:r>
            <w:r>
              <w:rPr>
                <w:rFonts w:ascii="Times New Roman" w:eastAsia="仿宋_GB2312" w:hAnsi="Times New Roman" w:cs="Times New Roman"/>
                <w:bCs/>
                <w:kern w:val="0"/>
                <w:sz w:val="24"/>
                <w:szCs w:val="24"/>
              </w:rPr>
              <w:t>C</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c</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E</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e</w:t>
            </w:r>
            <w:r>
              <w:rPr>
                <w:rFonts w:ascii="Times New Roman" w:eastAsia="仿宋_GB2312" w:hAnsi="Times New Roman" w:cs="Times New Roman"/>
                <w:bCs/>
                <w:kern w:val="0"/>
                <w:sz w:val="24"/>
                <w:szCs w:val="24"/>
              </w:rPr>
              <w:t>抗原检测卡（柱凝集法）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全国医用临床检验实验室和体外诊断系统标准化技术委员会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lastRenderedPageBreak/>
              <w:t>46</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9706.231—2023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医用电气设备</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2-31</w:t>
            </w:r>
            <w:r>
              <w:rPr>
                <w:rFonts w:ascii="Times New Roman" w:eastAsia="仿宋_GB2312" w:hAnsi="Times New Roman" w:cs="Times New Roman"/>
                <w:bCs/>
                <w:kern w:val="0"/>
                <w:sz w:val="24"/>
                <w:szCs w:val="24"/>
              </w:rPr>
              <w:t>部分：带内部电源的体外心脏起搏器的基本安全和基本性能专用要求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全国医用电器标准化技术委员会医用电子仪器分技术委员会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47</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9706.256—2023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医用电气设备</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2-56</w:t>
            </w:r>
            <w:r>
              <w:rPr>
                <w:rFonts w:ascii="Times New Roman" w:eastAsia="仿宋_GB2312" w:hAnsi="Times New Roman" w:cs="Times New Roman"/>
                <w:bCs/>
                <w:kern w:val="0"/>
                <w:sz w:val="24"/>
                <w:szCs w:val="24"/>
              </w:rPr>
              <w:t>部分：用于体温测量的临床体温计的基本安全和基本性能专用要求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全国医用电器标准化技术委员会医用电子仪器分技术委员会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48</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9706.278—2023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医用电气设备</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2-78</w:t>
            </w:r>
            <w:r>
              <w:rPr>
                <w:rFonts w:ascii="Times New Roman" w:eastAsia="仿宋_GB2312" w:hAnsi="Times New Roman" w:cs="Times New Roman"/>
                <w:bCs/>
                <w:kern w:val="0"/>
                <w:sz w:val="24"/>
                <w:szCs w:val="24"/>
              </w:rPr>
              <w:t>部分：康复、评定、代偿或缓解用医用机器人的基本安全和基本性能专用要求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全国医用电器标准化技术委员会医用电子仪器分技术委员会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49</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9706.279—2023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医用电气设备</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2-79</w:t>
            </w:r>
            <w:r>
              <w:rPr>
                <w:rFonts w:ascii="Times New Roman" w:eastAsia="仿宋_GB2312" w:hAnsi="Times New Roman" w:cs="Times New Roman"/>
                <w:bCs/>
                <w:kern w:val="0"/>
                <w:sz w:val="24"/>
                <w:szCs w:val="24"/>
              </w:rPr>
              <w:t>部分：用于呼吸功能障碍的呼吸支持设备的基本安全和基本性能专用要求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全国麻醉和呼吸设备</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50</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9706.280—2023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医用电气设备</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2-80</w:t>
            </w:r>
            <w:r>
              <w:rPr>
                <w:rFonts w:ascii="Times New Roman" w:eastAsia="仿宋_GB2312" w:hAnsi="Times New Roman" w:cs="Times New Roman"/>
                <w:bCs/>
                <w:kern w:val="0"/>
                <w:sz w:val="24"/>
                <w:szCs w:val="24"/>
              </w:rPr>
              <w:t>部分：用于呼吸功能不全的呼吸支持设备的基本安全和基本性能专用要求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全国麻醉和呼吸设备</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51</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9706.284—2023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医用电气设备</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2-84</w:t>
            </w:r>
            <w:r>
              <w:rPr>
                <w:rFonts w:ascii="Times New Roman" w:eastAsia="仿宋_GB2312" w:hAnsi="Times New Roman" w:cs="Times New Roman"/>
                <w:bCs/>
                <w:kern w:val="0"/>
                <w:sz w:val="24"/>
                <w:szCs w:val="24"/>
              </w:rPr>
              <w:t>部分：紧急医疗服务环境用呼吸机的基本安全和基本性能专用要求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全国麻醉和呼吸设备</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lastRenderedPageBreak/>
              <w:t>52</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0862—2023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眼科光学</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眼内填充物</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全国医用光学和仪器</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标准化分技术委员会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53</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0893—2023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医用气体混合器</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独立气体混合器</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2023/3/14</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2024/5/1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全国麻醉和呼吸设备</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54</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0272—2023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牙科学</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氧化锌</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丁香酚水门汀和不含丁香酚的氧化锌水门汀</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2025/7/1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全国口腔材料和器械设备标准化技术委员会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55</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0338—2023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气管切开插管和接头</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山东省医疗器械和药品包装检验研究院</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56</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0503—2023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环氧乙烷灭菌器</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2025/7/1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全国消毒技术与设备</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57</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0776—2023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肝脏射频消融治疗设备</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2025/7/1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全国医用电器标准化技术委员会物理治疗设备分技术委员会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58</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0793.3—2023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血液透析和相关治疗用液体的制备和质量管理</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3</w:t>
            </w:r>
            <w:r>
              <w:rPr>
                <w:rFonts w:ascii="Times New Roman" w:eastAsia="仿宋_GB2312" w:hAnsi="Times New Roman" w:cs="Times New Roman"/>
                <w:bCs/>
                <w:kern w:val="0"/>
                <w:sz w:val="24"/>
                <w:szCs w:val="24"/>
              </w:rPr>
              <w:t>部分：血液透析和相关治疗用浓缩物</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2025/7/1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全国医用体外循环设备标准化技术委员会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59</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0907—2023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医用无针注射器</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要求及</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试验方法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全国医用注射器（针）</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lastRenderedPageBreak/>
              <w:t>60</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0989.3—2023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手术植入物</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有源植入式医疗器械</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3</w:t>
            </w:r>
            <w:r>
              <w:rPr>
                <w:rFonts w:ascii="Times New Roman" w:eastAsia="仿宋_GB2312" w:hAnsi="Times New Roman" w:cs="Times New Roman"/>
                <w:bCs/>
                <w:kern w:val="0"/>
                <w:sz w:val="24"/>
                <w:szCs w:val="24"/>
              </w:rPr>
              <w:t>部分：植入式</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神经刺激器</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全国外科植入物和矫形器械标准化技术委员会有源植入物分技术</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61</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0992—2023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内镜清洗工作站</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全国消毒技术与设备标准化技术委员会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62</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1437—2023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医疗器械</w:t>
            </w:r>
            <w:r>
              <w:rPr>
                <w:rFonts w:ascii="Times New Roman" w:eastAsia="仿宋_GB2312" w:hAnsi="Times New Roman" w:cs="Times New Roman"/>
                <w:bCs/>
                <w:kern w:val="0"/>
                <w:sz w:val="24"/>
                <w:szCs w:val="24"/>
              </w:rPr>
              <w:t xml:space="preserve"> GB/T 42062</w:t>
            </w:r>
            <w:r>
              <w:rPr>
                <w:rFonts w:ascii="Times New Roman" w:eastAsia="仿宋_GB2312" w:hAnsi="Times New Roman" w:cs="Times New Roman"/>
                <w:bCs/>
                <w:kern w:val="0"/>
                <w:sz w:val="24"/>
                <w:szCs w:val="24"/>
              </w:rPr>
              <w:t>应用指南</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全国医疗器械质量管理和通用要求标准化技术委员会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63</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1754.3—2023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医疗器械临床前动物研究</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3</w:t>
            </w:r>
            <w:r>
              <w:rPr>
                <w:rFonts w:ascii="Times New Roman" w:eastAsia="仿宋_GB2312" w:hAnsi="Times New Roman" w:cs="Times New Roman"/>
                <w:bCs/>
                <w:kern w:val="0"/>
                <w:sz w:val="24"/>
                <w:szCs w:val="24"/>
              </w:rPr>
              <w:t>部分：用于评价补片组织学反应与生物力学性能的动物腹壁切口疝模型</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全国医疗器械生物学评价标准化技术委员会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64</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1766.3—2023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X</w:t>
            </w:r>
            <w:r>
              <w:rPr>
                <w:rFonts w:ascii="Times New Roman" w:eastAsia="仿宋_GB2312" w:hAnsi="Times New Roman" w:cs="Times New Roman"/>
                <w:bCs/>
                <w:kern w:val="0"/>
                <w:sz w:val="24"/>
                <w:szCs w:val="24"/>
              </w:rPr>
              <w:t>射线计算机体层摄影设备图像质量评价方法</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3</w:t>
            </w:r>
            <w:r>
              <w:rPr>
                <w:rFonts w:ascii="Times New Roman" w:eastAsia="仿宋_GB2312" w:hAnsi="Times New Roman" w:cs="Times New Roman"/>
                <w:bCs/>
                <w:kern w:val="0"/>
                <w:sz w:val="24"/>
                <w:szCs w:val="24"/>
              </w:rPr>
              <w:t>部分：双能量成像与能谱应用性能评价</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2025/1/1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w:t>
            </w:r>
            <w:r>
              <w:rPr>
                <w:rFonts w:ascii="Times New Roman" w:eastAsia="仿宋_GB2312" w:hAnsi="Times New Roman" w:cs="Times New Roman"/>
                <w:bCs/>
                <w:kern w:val="0"/>
                <w:sz w:val="24"/>
                <w:szCs w:val="24"/>
              </w:rPr>
              <w:t>X</w:t>
            </w:r>
            <w:r>
              <w:rPr>
                <w:rFonts w:ascii="Times New Roman" w:eastAsia="仿宋_GB2312" w:hAnsi="Times New Roman" w:cs="Times New Roman"/>
                <w:bCs/>
                <w:kern w:val="0"/>
                <w:sz w:val="24"/>
                <w:szCs w:val="24"/>
              </w:rPr>
              <w:t>射线设备及用具分技术委员会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65</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1873—2023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麻醉和呼吸设备</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笑气吸入镇静镇痛装置</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全国麻醉和呼吸设备</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66</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1881—2023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医用正压送风式呼吸器</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2025/7/1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医用生物防护产品标准化技术归口单位</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67</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1884—2023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固定式含铜宫内节育器</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全国计划生育器械标准化技术委员会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lastRenderedPageBreak/>
              <w:t>68</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1885—2023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传染病患者运送负压隔离舱</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2025/7/1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医用生物防护产品标准化技术归口单位</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69</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1887—2023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医用正压防护服</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2025/7/1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医用生物防护产品标准化技术归口单位</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70</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1894—2023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医用磁共振设备可靠性指标验证方法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全国医用电器标准化技术委员会医用电子仪器分技术委员会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71</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1896—2023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光谱辐射治疗设备波长范围界定方法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全国医用电器标准化技术委员会物理治疗设备分技术委员会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72</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1897—2023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纳米医疗器械生物学评价</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遗传毒性试验</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体外哺乳动物细胞微核试验</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全国医疗器械生物学评价标准化技术委员会纳米医疗器械生物学评价分技术委员会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73</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1899—2023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可吸收医疗器械植入后组织病理学样本制备与评价方法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2023/6/20</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2024/7/1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全国医疗器械生物学评价标准化技术委员会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w:t>
            </w:r>
            <w:r>
              <w:rPr>
                <w:rFonts w:ascii="Times New Roman" w:eastAsia="仿宋_GB2312" w:hAnsi="Times New Roman" w:cs="Times New Roman"/>
                <w:bCs/>
                <w:kern w:val="0"/>
                <w:sz w:val="24"/>
                <w:szCs w:val="24"/>
              </w:rPr>
              <w:t>年第</w:t>
            </w:r>
            <w:r>
              <w:rPr>
                <w:rFonts w:ascii="Times New Roman" w:eastAsia="仿宋_GB2312" w:hAnsi="Times New Roman" w:cs="Times New Roman"/>
                <w:bCs/>
                <w:kern w:val="0"/>
                <w:sz w:val="24"/>
                <w:szCs w:val="24"/>
              </w:rPr>
              <w:t>82</w:t>
            </w:r>
            <w:r>
              <w:rPr>
                <w:rFonts w:ascii="Times New Roman" w:eastAsia="仿宋_GB2312" w:hAnsi="Times New Roman" w:cs="Times New Roman"/>
                <w:bCs/>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74</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0290.5—2023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眼科光学</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人工晶状体</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5</w:t>
            </w:r>
            <w:r>
              <w:rPr>
                <w:rFonts w:ascii="Times New Roman" w:eastAsia="仿宋_GB2312" w:hAnsi="Times New Roman" w:cs="Times New Roman"/>
                <w:bCs/>
                <w:kern w:val="0"/>
                <w:sz w:val="24"/>
                <w:szCs w:val="24"/>
              </w:rPr>
              <w:t>部分：生物相容性</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全国光学和光子学标准化技术委员会医用光学和仪器分技术委员会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75</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0304—2023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等离子喷涂羟基磷灰石涂层</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钛基牙种植体</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全国口腔材料和器械设备标准化技术委员会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76</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0306—2023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热辐射类治疗设备通用技术要求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全国医用电器标准化技术委员会物理治疗设备分技术委员会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lastRenderedPageBreak/>
              <w:t>77</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0451—2023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一次性使用便携式输注泵</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非电驱动</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全国医用输液器具标准化技术委员会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78</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0466.1—2023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医疗器械</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用于制造商提供信息的符号</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1</w:t>
            </w:r>
            <w:r>
              <w:rPr>
                <w:rFonts w:ascii="Times New Roman" w:eastAsia="仿宋_GB2312" w:hAnsi="Times New Roman" w:cs="Times New Roman"/>
                <w:bCs/>
                <w:kern w:val="0"/>
                <w:sz w:val="24"/>
                <w:szCs w:val="24"/>
              </w:rPr>
              <w:t>部分：通用要求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2025/9/15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全国医疗器械质量管理和通用要求标准化技术委员会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376"/>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79</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0675—2023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眼科仪器</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同视机</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全国光学和光子学标准化技术委员会医用光学和仪器分技术委员会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80</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0698.5—2023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最终灭菌医疗器械包装材料</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5</w:t>
            </w:r>
            <w:r>
              <w:rPr>
                <w:rFonts w:ascii="Times New Roman" w:eastAsia="仿宋_GB2312" w:hAnsi="Times New Roman" w:cs="Times New Roman"/>
                <w:bCs/>
                <w:kern w:val="0"/>
                <w:sz w:val="24"/>
                <w:szCs w:val="24"/>
              </w:rPr>
              <w:t>部分：透气材料与塑料膜组成的可密封组合袋和卷材</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要求和试验方法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全国医用输液器具标准化技术委员会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81</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0717—2023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牙科学</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根管封闭材料</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全国口腔材料和器械设备标准化技术委员会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82</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0767—2023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彩色超声影像设备通用技术要求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全国医用电器标准化技术委员会医用超声设备分技术委员会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83</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0773—2023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眼科</w:t>
            </w:r>
            <w:r>
              <w:rPr>
                <w:rFonts w:ascii="Times New Roman" w:eastAsia="仿宋_GB2312" w:hAnsi="Times New Roman" w:cs="Times New Roman"/>
                <w:bCs/>
                <w:kern w:val="0"/>
                <w:sz w:val="24"/>
                <w:szCs w:val="24"/>
              </w:rPr>
              <w:t>B</w:t>
            </w:r>
            <w:r>
              <w:rPr>
                <w:rFonts w:ascii="Times New Roman" w:eastAsia="仿宋_GB2312" w:hAnsi="Times New Roman" w:cs="Times New Roman"/>
                <w:bCs/>
                <w:kern w:val="0"/>
                <w:sz w:val="24"/>
                <w:szCs w:val="24"/>
              </w:rPr>
              <w:t>型超声诊断仪通用技术条件</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全国医用电器标准化技术委员会医用超声设备分技术委员会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84</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0841—2023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医用电气设备</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医用电气设备周期性测试和修理后测试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2025/9/15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85</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0851—2023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医用防血栓袜</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山东省医疗器械和药品包装检验研究院</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lastRenderedPageBreak/>
              <w:t>86</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0875—2023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外科器械</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直线型吻合器及组件</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全国外科器械标准化</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87</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0905—2023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牙科学</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中央压缩空气源</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设备</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2025/3/15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全国口腔材料和器械设备标准化技术委员会齿科设备与器械分技术</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88</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0977—2023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麻醉和呼吸设备</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口咽通</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气道</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全国麻醉和呼吸设备</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89</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1021.2—2023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牙科学</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拔牙钳</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2</w:t>
            </w:r>
            <w:r>
              <w:rPr>
                <w:rFonts w:ascii="Times New Roman" w:eastAsia="仿宋_GB2312" w:hAnsi="Times New Roman" w:cs="Times New Roman"/>
                <w:bCs/>
                <w:kern w:val="0"/>
                <w:sz w:val="24"/>
                <w:szCs w:val="24"/>
              </w:rPr>
              <w:t>部分：标示</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全国口腔材料和器械设备标准化技术委员会齿科设备与器械分技术</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90</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1021.3—2023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牙科学</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拔牙钳</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3</w:t>
            </w:r>
            <w:r>
              <w:rPr>
                <w:rFonts w:ascii="Times New Roman" w:eastAsia="仿宋_GB2312" w:hAnsi="Times New Roman" w:cs="Times New Roman"/>
                <w:bCs/>
                <w:kern w:val="0"/>
                <w:sz w:val="24"/>
                <w:szCs w:val="24"/>
              </w:rPr>
              <w:t>部分：设计</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全国口腔材料和器械设备标准化技术委员会齿科设备与器械分技术</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91</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1028—2023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医用内窥镜</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纤维内窥镜</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全国光学和光子学标准化技术委员会医用光学和仪器分技术委员会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92</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1277—2023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压力蒸汽灭菌器</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生物安全性能要求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全国消毒技术与设备</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376"/>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lastRenderedPageBreak/>
              <w:t>93</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1622.2—2023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牙科学</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牙周探针</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2</w:t>
            </w:r>
            <w:r>
              <w:rPr>
                <w:rFonts w:ascii="Times New Roman" w:eastAsia="仿宋_GB2312" w:hAnsi="Times New Roman" w:cs="Times New Roman"/>
                <w:bCs/>
                <w:kern w:val="0"/>
                <w:sz w:val="24"/>
                <w:szCs w:val="24"/>
              </w:rPr>
              <w:t>部分：标示</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全国口腔材料和器械设备标准化技术委员会齿科设备与器械分技术</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94</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1833.4—2023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人工智能医疗器械</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质量要求和评价</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4</w:t>
            </w:r>
            <w:r>
              <w:rPr>
                <w:rFonts w:ascii="Times New Roman" w:eastAsia="仿宋_GB2312" w:hAnsi="Times New Roman" w:cs="Times New Roman"/>
                <w:bCs/>
                <w:kern w:val="0"/>
                <w:sz w:val="24"/>
                <w:szCs w:val="24"/>
              </w:rPr>
              <w:t>部分：可追溯性</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人工智能医疗器械标准化技术归口单位</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95</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1889—2023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眼科光学</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接触镜护理产品</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镜片盒内接触镜护理产品及接触镜的细菌和真菌挑战评估方法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全国光学和光子学标准化技术委员会医用光学和仪器分技术委员会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96</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1890—2023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乙型肝炎病毒表面抗原检测试剂盒（免疫层析法）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全国医用临床检验实验室和体外诊断系统标准化技术委员会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97</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1893—2023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w:t>
            </w:r>
            <w:r>
              <w:rPr>
                <w:rFonts w:ascii="Times New Roman" w:eastAsia="仿宋_GB2312" w:hAnsi="Times New Roman" w:cs="Times New Roman"/>
                <w:bCs/>
                <w:kern w:val="0"/>
                <w:sz w:val="24"/>
                <w:szCs w:val="24"/>
              </w:rPr>
              <w:t>染色体微缺失检测试剂盒</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全国医用临床检验实验室和体外诊断系统标准化技术委员会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98</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1895—2023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血管内光学相干断层扫描成像设备</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全国光学和光子学标准化技术委员会医用光学和仪器分技术委员会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99</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1900—2023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牙科学</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牙科银汞合金的耐腐蚀性</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全国口腔材料和器械设备标准化技术委员会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100</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1901—2023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采用机器人技术的骨科手术导航设备要求及试验方法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医用机器人标准化技术归口单位</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lastRenderedPageBreak/>
              <w:t>101</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1905—2023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轻离子束放射治疗计划剂量计算准确性要求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全国医用电器标准化技术委员会放射治疗核医学和放射剂量学设备分技术委员会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102</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1906—2023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一次性使用无菌闭合夹</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全国外科器械标准化技术委员会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103</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1907—2023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人工智能医疗器械</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冠状动脉</w:t>
            </w:r>
            <w:r>
              <w:rPr>
                <w:rFonts w:ascii="Times New Roman" w:eastAsia="仿宋_GB2312" w:hAnsi="Times New Roman" w:cs="Times New Roman"/>
                <w:bCs/>
                <w:kern w:val="0"/>
                <w:sz w:val="24"/>
                <w:szCs w:val="24"/>
              </w:rPr>
              <w:t>CT</w:t>
            </w:r>
            <w:r>
              <w:rPr>
                <w:rFonts w:ascii="Times New Roman" w:eastAsia="仿宋_GB2312" w:hAnsi="Times New Roman" w:cs="Times New Roman"/>
                <w:bCs/>
                <w:kern w:val="0"/>
                <w:sz w:val="24"/>
                <w:szCs w:val="24"/>
              </w:rPr>
              <w:t>影像处理软件</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算法性能测试方法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人工智能医疗器械标准化技术归口单位</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104</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1908—2023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核酸提取仪</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全国医用临床检验实验室和体外诊断系统标准化技术委员会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105</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1909—2023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医用增材制造</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金属粉末床电子束熔融工艺控制和确认要求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医用增材制造技术医疗器械标准化技术归口单位</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106</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1910—2023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用于增材制造的医用</w:t>
            </w:r>
            <w:r>
              <w:rPr>
                <w:rFonts w:ascii="Times New Roman" w:eastAsia="仿宋_GB2312" w:hAnsi="Times New Roman" w:cs="Times New Roman"/>
                <w:bCs/>
                <w:kern w:val="0"/>
                <w:sz w:val="24"/>
                <w:szCs w:val="24"/>
              </w:rPr>
              <w:t>β-</w:t>
            </w:r>
            <w:r>
              <w:rPr>
                <w:rFonts w:ascii="Times New Roman" w:eastAsia="仿宋_GB2312" w:hAnsi="Times New Roman" w:cs="Times New Roman"/>
                <w:bCs/>
                <w:kern w:val="0"/>
                <w:sz w:val="24"/>
                <w:szCs w:val="24"/>
              </w:rPr>
              <w:t>磷酸三钙粉末</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医用增材制造技术医疗器械标准化技术归口单位</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376"/>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107</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1911—2023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医疗器械凝血试验方法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全国医疗器械生物学评价标准化技术委员会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108</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1912—2023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用于软组织再生医疗器械的生物学评价与试验</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全国医疗器械生物学评价标准化技术委员会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lastRenderedPageBreak/>
              <w:t>109</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1913—2023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医用聚碳酸酯材料中</w:t>
            </w:r>
            <w:r>
              <w:rPr>
                <w:rFonts w:ascii="Times New Roman" w:eastAsia="仿宋_GB2312" w:hAnsi="Times New Roman" w:cs="Times New Roman"/>
                <w:bCs/>
                <w:kern w:val="0"/>
                <w:sz w:val="24"/>
                <w:szCs w:val="24"/>
              </w:rPr>
              <w:t>2,2-</w:t>
            </w:r>
            <w:r>
              <w:rPr>
                <w:rFonts w:ascii="Times New Roman" w:eastAsia="仿宋_GB2312" w:hAnsi="Times New Roman" w:cs="Times New Roman"/>
                <w:bCs/>
                <w:kern w:val="0"/>
                <w:sz w:val="24"/>
                <w:szCs w:val="24"/>
              </w:rPr>
              <w:t>二（</w:t>
            </w:r>
            <w:r>
              <w:rPr>
                <w:rFonts w:ascii="Times New Roman" w:eastAsia="仿宋_GB2312" w:hAnsi="Times New Roman" w:cs="Times New Roman"/>
                <w:bCs/>
                <w:kern w:val="0"/>
                <w:sz w:val="24"/>
                <w:szCs w:val="24"/>
              </w:rPr>
              <w:t>4-</w:t>
            </w:r>
            <w:r>
              <w:rPr>
                <w:rFonts w:ascii="Times New Roman" w:eastAsia="仿宋_GB2312" w:hAnsi="Times New Roman" w:cs="Times New Roman"/>
                <w:bCs/>
                <w:kern w:val="0"/>
                <w:sz w:val="24"/>
                <w:szCs w:val="24"/>
              </w:rPr>
              <w:t>羟基苯基）丙烷（双酚</w:t>
            </w:r>
            <w:r>
              <w:rPr>
                <w:rFonts w:ascii="Times New Roman" w:eastAsia="仿宋_GB2312" w:hAnsi="Times New Roman" w:cs="Times New Roman"/>
                <w:bCs/>
                <w:kern w:val="0"/>
                <w:sz w:val="24"/>
                <w:szCs w:val="24"/>
              </w:rPr>
              <w:t>A</w:t>
            </w:r>
            <w:r>
              <w:rPr>
                <w:rFonts w:ascii="Times New Roman" w:eastAsia="仿宋_GB2312" w:hAnsi="Times New Roman" w:cs="Times New Roman"/>
                <w:bCs/>
                <w:kern w:val="0"/>
                <w:sz w:val="24"/>
                <w:szCs w:val="24"/>
              </w:rPr>
              <w:t>）残留量测定方法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全国医疗器械生物学评价标准化技术委员会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110</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1914—2023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人类辅助生殖技术用医疗器械</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器具类产品通用要求</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人类辅助生殖技术用医疗器械标准化技术归口单位</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111</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1915—2023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免疫层析试剂盒实验室检测通则</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2024/3/15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全国医用临床检验实验室和体外诊断系统标准化技术委员会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112</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1916—2023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白介素</w:t>
            </w:r>
            <w:r>
              <w:rPr>
                <w:rFonts w:ascii="Times New Roman" w:eastAsia="仿宋_GB2312" w:hAnsi="Times New Roman" w:cs="Times New Roman"/>
                <w:bCs/>
                <w:kern w:val="0"/>
                <w:sz w:val="24"/>
                <w:szCs w:val="24"/>
              </w:rPr>
              <w:t>6</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IL-6</w:t>
            </w:r>
            <w:r>
              <w:rPr>
                <w:rFonts w:ascii="Times New Roman" w:eastAsia="仿宋_GB2312" w:hAnsi="Times New Roman" w:cs="Times New Roman"/>
                <w:bCs/>
                <w:kern w:val="0"/>
                <w:sz w:val="24"/>
                <w:szCs w:val="24"/>
              </w:rPr>
              <w:t>）测定试剂盒（标记免疫分析法）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全国医用临床检验实验室和体外诊断系统标准化技术委员会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113</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1917—2023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抗</w:t>
            </w:r>
            <w:r>
              <w:rPr>
                <w:rFonts w:ascii="Times New Roman" w:eastAsia="仿宋_GB2312" w:hAnsi="Times New Roman" w:cs="Times New Roman"/>
                <w:bCs/>
                <w:kern w:val="0"/>
                <w:sz w:val="24"/>
                <w:szCs w:val="24"/>
              </w:rPr>
              <w:t>Xa</w:t>
            </w:r>
            <w:r>
              <w:rPr>
                <w:rFonts w:ascii="Times New Roman" w:eastAsia="仿宋_GB2312" w:hAnsi="Times New Roman" w:cs="Times New Roman"/>
                <w:bCs/>
                <w:kern w:val="0"/>
                <w:sz w:val="24"/>
                <w:szCs w:val="24"/>
              </w:rPr>
              <w:t>测定试剂盒</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（发色底物法）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全国医用临床检验实验室和体外诊断系统标准化技术委员会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376"/>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114</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1918—2023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数字聚合酶链反应分析系统</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全国医用临床检验实验室和体外诊断系统标准化技术委员会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115</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1919—2023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超声造影成像性能试验方法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全国医用电器标准化技术委员会医用超声设备分技术委员会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116</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1920—2023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透析器血液相容性试验</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全国医用体外循环设备标准化技术委员会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lastRenderedPageBreak/>
              <w:t>117</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1921—2023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闭环式含铜宫内节育器</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全国计划生育器械标准化技术委员会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118</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0852—2023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一次性使用无菌手术膜</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2023/9/5</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2026/9/15</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山东省医疗器械和药品包装检验研究院</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118</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119</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0127.4—2023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口腔医疗器械生物学评价</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4</w:t>
            </w:r>
            <w:r>
              <w:rPr>
                <w:rFonts w:ascii="Times New Roman" w:eastAsia="仿宋_GB2312" w:hAnsi="Times New Roman" w:cs="Times New Roman"/>
                <w:bCs/>
                <w:kern w:val="0"/>
                <w:sz w:val="24"/>
                <w:szCs w:val="24"/>
              </w:rPr>
              <w:t>部分：骨植入试验</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2023/11/22</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2024/12/1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全国口腔材料和器械设备标准化技术委员会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149</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120</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0127.19—2023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口腔医疗器械生物学评价</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19</w:t>
            </w:r>
            <w:r>
              <w:rPr>
                <w:rFonts w:ascii="Times New Roman" w:eastAsia="仿宋_GB2312" w:hAnsi="Times New Roman" w:cs="Times New Roman"/>
                <w:bCs/>
                <w:kern w:val="0"/>
                <w:sz w:val="24"/>
                <w:szCs w:val="24"/>
              </w:rPr>
              <w:t>部分：亚急性和亚慢性全身毒性试验：植入途径</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2023/11/22</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2024/12/1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全国口腔材料和器械设备标准化技术委员会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149</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121</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0315—2023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钛及钛合金牙种植体</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2023/11/22</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2026/12/1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全国口腔材料和器械设备标准化技术委员会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149</w:t>
            </w:r>
            <w:r>
              <w:rPr>
                <w:rFonts w:ascii="Times New Roman" w:eastAsia="仿宋_GB2312" w:hAnsi="Times New Roman" w:cs="Times New Roman"/>
                <w:bCs/>
                <w:spacing w:val="-4"/>
                <w:kern w:val="0"/>
                <w:sz w:val="24"/>
                <w:szCs w:val="24"/>
              </w:rPr>
              <w:t>号</w:t>
            </w:r>
          </w:p>
        </w:tc>
      </w:tr>
      <w:tr w:rsidR="00727FC9">
        <w:trPr>
          <w:cantSplit/>
          <w:trHeight w:val="37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122</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0469—2023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医用外科口罩</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2023/11/22</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2026/12/1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全国医用防护器械</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标准化工作组</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149</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123</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0793.2—2023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血液透析和相关治疗用液体的制备和质量管理</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2</w:t>
            </w:r>
            <w:r>
              <w:rPr>
                <w:rFonts w:ascii="Times New Roman" w:eastAsia="仿宋_GB2312" w:hAnsi="Times New Roman" w:cs="Times New Roman"/>
                <w:bCs/>
                <w:kern w:val="0"/>
                <w:sz w:val="24"/>
                <w:szCs w:val="24"/>
              </w:rPr>
              <w:t>部分：血液透析和相关治疗用水</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2023/11/22</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2026/12/1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全国医用体外循环设备标准化技术委员会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149</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124</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0929.3—2023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输液用药液过滤器</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3</w:t>
            </w:r>
            <w:r>
              <w:rPr>
                <w:rFonts w:ascii="Times New Roman" w:eastAsia="仿宋_GB2312" w:hAnsi="Times New Roman" w:cs="Times New Roman"/>
                <w:bCs/>
                <w:kern w:val="0"/>
                <w:sz w:val="24"/>
                <w:szCs w:val="24"/>
              </w:rPr>
              <w:t>部分：标称孔径</w:t>
            </w:r>
            <w:r>
              <w:rPr>
                <w:rFonts w:ascii="Times New Roman" w:eastAsia="仿宋_GB2312" w:hAnsi="Times New Roman" w:cs="Times New Roman"/>
                <w:bCs/>
                <w:kern w:val="0"/>
                <w:sz w:val="24"/>
                <w:szCs w:val="24"/>
              </w:rPr>
              <w:t>0.22μm</w:t>
            </w:r>
            <w:r>
              <w:rPr>
                <w:rFonts w:ascii="Times New Roman" w:eastAsia="仿宋_GB2312" w:hAnsi="Times New Roman" w:cs="Times New Roman"/>
                <w:bCs/>
                <w:kern w:val="0"/>
                <w:sz w:val="24"/>
                <w:szCs w:val="24"/>
              </w:rPr>
              <w:t>药液过滤器液体细菌截留试验方法</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2023/11/22</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2024/12/1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全国医用输液器具</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149</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125</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0969—2023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一次性使用医用口罩</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2023/11/22</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2025/12/1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全国医用防护器械</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标准化工作组</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149</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lastRenderedPageBreak/>
              <w:t>126</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 1042—2023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牙科学</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聚合物基修复材料</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2023/11/22</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2026/12/1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全国口腔材料和器械设备标准化技术委员会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149</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127</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1842.3—2023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医疗器械</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医用贮液容器输送系统用连接件</w:t>
            </w:r>
            <w:r>
              <w:rPr>
                <w:rFonts w:ascii="Times New Roman" w:eastAsia="仿宋_GB2312" w:hAnsi="Times New Roman" w:cs="Times New Roman"/>
                <w:bCs/>
                <w:kern w:val="0"/>
                <w:sz w:val="24"/>
                <w:szCs w:val="24"/>
              </w:rPr>
              <w:t xml:space="preserve"> </w:t>
            </w:r>
            <w:r>
              <w:rPr>
                <w:rFonts w:ascii="Times New Roman" w:eastAsia="仿宋_GB2312" w:hAnsi="Times New Roman" w:cs="Times New Roman"/>
                <w:bCs/>
                <w:kern w:val="0"/>
                <w:sz w:val="24"/>
                <w:szCs w:val="24"/>
              </w:rPr>
              <w:t>第</w:t>
            </w:r>
            <w:r>
              <w:rPr>
                <w:rFonts w:ascii="Times New Roman" w:eastAsia="仿宋_GB2312" w:hAnsi="Times New Roman" w:cs="Times New Roman"/>
                <w:bCs/>
                <w:kern w:val="0"/>
                <w:sz w:val="24"/>
                <w:szCs w:val="24"/>
              </w:rPr>
              <w:t>3</w:t>
            </w:r>
            <w:r>
              <w:rPr>
                <w:rFonts w:ascii="Times New Roman" w:eastAsia="仿宋_GB2312" w:hAnsi="Times New Roman" w:cs="Times New Roman"/>
                <w:bCs/>
                <w:kern w:val="0"/>
                <w:sz w:val="24"/>
                <w:szCs w:val="24"/>
              </w:rPr>
              <w:t>部分：胃肠道应用</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2023/11/22</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2024/12/1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全国医用输液器具</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149</w:t>
            </w:r>
            <w:r>
              <w:rPr>
                <w:rFonts w:ascii="Times New Roman" w:eastAsia="仿宋_GB2312" w:hAnsi="Times New Roman" w:cs="Times New Roman"/>
                <w:bCs/>
                <w:spacing w:val="-4"/>
                <w:kern w:val="0"/>
                <w:sz w:val="24"/>
                <w:szCs w:val="24"/>
              </w:rPr>
              <w:t>号</w:t>
            </w:r>
          </w:p>
        </w:tc>
      </w:tr>
      <w:tr w:rsidR="00727FC9">
        <w:trPr>
          <w:cantSplit/>
          <w:trHeight w:val="441"/>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128</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1904—2023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医用防护眼（面）罩</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2023/11/22</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2025/12/1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全国医用防护器械</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标准化工作组</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149</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129</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1928—2023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预期用于磁共振环境的医用电气设备的术语和分类</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2023/11/22</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2024/12/1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全国医用电器标准化技术委员会医用电子仪器分技术委员会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149</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130</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0003—2023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手动病床</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2023/11/22</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2025/12/1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全国医用电器标准化技术委员会医用电子仪器分技术委员会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149</w:t>
            </w:r>
            <w:r>
              <w:rPr>
                <w:rFonts w:ascii="Times New Roman" w:eastAsia="仿宋_GB2312" w:hAnsi="Times New Roman" w:cs="Times New Roman"/>
                <w:bCs/>
                <w:spacing w:val="-4"/>
                <w:kern w:val="0"/>
                <w:sz w:val="24"/>
                <w:szCs w:val="24"/>
              </w:rPr>
              <w:t>号</w:t>
            </w:r>
          </w:p>
        </w:tc>
      </w:tr>
      <w:tr w:rsidR="00727FC9">
        <w:trPr>
          <w:cantSplit/>
          <w:trHeight w:val="737"/>
          <w:jc w:val="center"/>
        </w:trPr>
        <w:tc>
          <w:tcPr>
            <w:tcW w:w="317" w:type="pct"/>
            <w:tcBorders>
              <w:top w:val="single" w:sz="4" w:space="0" w:color="auto"/>
              <w:left w:val="single" w:sz="4" w:space="0" w:color="auto"/>
              <w:bottom w:val="single" w:sz="4" w:space="0" w:color="auto"/>
              <w:right w:val="single" w:sz="4" w:space="0" w:color="auto"/>
            </w:tcBorders>
            <w:noWrap/>
            <w:vAlign w:val="center"/>
          </w:tcPr>
          <w:p w:rsidR="00727FC9" w:rsidRDefault="00727FC9">
            <w:pPr>
              <w:widowControl/>
              <w:jc w:val="center"/>
              <w:rPr>
                <w:rFonts w:ascii="Times New Roman" w:eastAsia="仿宋_GB2312" w:hAnsi="Times New Roman" w:cs="Times New Roman"/>
                <w:bCs/>
                <w:color w:val="000000"/>
                <w:kern w:val="0"/>
                <w:sz w:val="24"/>
                <w:szCs w:val="24"/>
              </w:rPr>
            </w:pPr>
            <w:r>
              <w:rPr>
                <w:rFonts w:ascii="Times New Roman" w:eastAsia="仿宋_GB2312" w:hAnsi="Times New Roman" w:cs="Times New Roman"/>
                <w:bCs/>
                <w:color w:val="000000"/>
                <w:kern w:val="0"/>
                <w:sz w:val="24"/>
                <w:szCs w:val="24"/>
              </w:rPr>
              <w:t>131</w:t>
            </w:r>
          </w:p>
        </w:tc>
        <w:tc>
          <w:tcPr>
            <w:tcW w:w="735" w:type="pct"/>
            <w:tcBorders>
              <w:top w:val="single" w:sz="4" w:space="0" w:color="auto"/>
              <w:left w:val="single" w:sz="4" w:space="0" w:color="auto"/>
              <w:bottom w:val="single" w:sz="4" w:space="0" w:color="auto"/>
              <w:right w:val="single" w:sz="4" w:space="0" w:color="auto"/>
            </w:tcBorders>
            <w:vAlign w:val="center"/>
          </w:tcPr>
          <w:p w:rsidR="00727FC9" w:rsidRDefault="00727FC9">
            <w:pPr>
              <w:widowControl/>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YY/T 0489—2023</w:t>
            </w:r>
          </w:p>
        </w:tc>
        <w:tc>
          <w:tcPr>
            <w:tcW w:w="1147"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一次性使用无菌引流导管及辅助器械</w:t>
            </w:r>
          </w:p>
        </w:tc>
        <w:tc>
          <w:tcPr>
            <w:tcW w:w="553"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2023/11/22</w:t>
            </w:r>
          </w:p>
        </w:tc>
        <w:tc>
          <w:tcPr>
            <w:tcW w:w="580"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2024/12/1</w:t>
            </w:r>
          </w:p>
        </w:tc>
        <w:tc>
          <w:tcPr>
            <w:tcW w:w="996" w:type="pct"/>
            <w:tcBorders>
              <w:top w:val="single" w:sz="4" w:space="0" w:color="auto"/>
              <w:left w:val="single" w:sz="4" w:space="0" w:color="auto"/>
              <w:bottom w:val="single" w:sz="4" w:space="0" w:color="auto"/>
              <w:right w:val="single" w:sz="4" w:space="0" w:color="auto"/>
            </w:tcBorders>
            <w:vAlign w:val="center"/>
          </w:tcPr>
          <w:p w:rsidR="00727FC9" w:rsidRDefault="00727FC9">
            <w:pPr>
              <w:jc w:val="center"/>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全国医用输液器具</w:t>
            </w:r>
            <w:r>
              <w:rPr>
                <w:rFonts w:ascii="Times New Roman" w:eastAsia="仿宋_GB2312" w:hAnsi="Times New Roman" w:cs="Times New Roman"/>
                <w:bCs/>
                <w:kern w:val="0"/>
                <w:sz w:val="24"/>
                <w:szCs w:val="24"/>
              </w:rPr>
              <w:br/>
            </w:r>
            <w:r>
              <w:rPr>
                <w:rFonts w:ascii="Times New Roman" w:eastAsia="仿宋_GB2312" w:hAnsi="Times New Roman" w:cs="Times New Roman"/>
                <w:bCs/>
                <w:kern w:val="0"/>
                <w:sz w:val="24"/>
                <w:szCs w:val="24"/>
              </w:rPr>
              <w:t>标准化技术委员会</w:t>
            </w:r>
          </w:p>
        </w:tc>
        <w:tc>
          <w:tcPr>
            <w:tcW w:w="672" w:type="pct"/>
            <w:tcBorders>
              <w:top w:val="single" w:sz="4" w:space="0" w:color="auto"/>
              <w:left w:val="single" w:sz="4" w:space="0" w:color="auto"/>
              <w:bottom w:val="single" w:sz="4" w:space="0" w:color="auto"/>
              <w:right w:val="single" w:sz="4" w:space="0" w:color="auto"/>
            </w:tcBorders>
            <w:vAlign w:val="center"/>
          </w:tcPr>
          <w:p w:rsidR="00727FC9" w:rsidRDefault="00727FC9">
            <w:pPr>
              <w:ind w:leftChars="-18" w:left="-38" w:rightChars="-25" w:right="-53"/>
              <w:jc w:val="center"/>
              <w:rPr>
                <w:rFonts w:ascii="Times New Roman" w:eastAsia="仿宋_GB2312" w:hAnsi="Times New Roman" w:cs="Times New Roman"/>
                <w:bCs/>
                <w:spacing w:val="-4"/>
                <w:kern w:val="0"/>
                <w:sz w:val="24"/>
                <w:szCs w:val="24"/>
              </w:rPr>
            </w:pPr>
            <w:r>
              <w:rPr>
                <w:rFonts w:ascii="Times New Roman" w:eastAsia="仿宋_GB2312" w:hAnsi="Times New Roman" w:cs="Times New Roman"/>
                <w:bCs/>
                <w:spacing w:val="-4"/>
                <w:kern w:val="0"/>
                <w:sz w:val="24"/>
                <w:szCs w:val="24"/>
              </w:rPr>
              <w:t>2023</w:t>
            </w:r>
            <w:r>
              <w:rPr>
                <w:rFonts w:ascii="Times New Roman" w:eastAsia="仿宋_GB2312" w:hAnsi="Times New Roman" w:cs="Times New Roman"/>
                <w:bCs/>
                <w:spacing w:val="-4"/>
                <w:kern w:val="0"/>
                <w:sz w:val="24"/>
                <w:szCs w:val="24"/>
              </w:rPr>
              <w:t>年第</w:t>
            </w:r>
            <w:r>
              <w:rPr>
                <w:rFonts w:ascii="Times New Roman" w:eastAsia="仿宋_GB2312" w:hAnsi="Times New Roman" w:cs="Times New Roman"/>
                <w:bCs/>
                <w:spacing w:val="-4"/>
                <w:kern w:val="0"/>
                <w:sz w:val="24"/>
                <w:szCs w:val="24"/>
              </w:rPr>
              <w:t>149</w:t>
            </w:r>
            <w:r>
              <w:rPr>
                <w:rFonts w:ascii="Times New Roman" w:eastAsia="仿宋_GB2312" w:hAnsi="Times New Roman" w:cs="Times New Roman"/>
                <w:bCs/>
                <w:spacing w:val="-4"/>
                <w:kern w:val="0"/>
                <w:sz w:val="24"/>
                <w:szCs w:val="24"/>
              </w:rPr>
              <w:t>号</w:t>
            </w:r>
          </w:p>
        </w:tc>
      </w:tr>
    </w:tbl>
    <w:p w:rsidR="00727FC9" w:rsidRDefault="00727FC9" w:rsidP="00107D9D">
      <w:pPr>
        <w:pStyle w:val="ac"/>
        <w:adjustRightInd w:val="0"/>
        <w:snapToGrid w:val="0"/>
        <w:spacing w:line="560" w:lineRule="exact"/>
        <w:ind w:firstLineChars="0" w:firstLine="0"/>
        <w:outlineLvl w:val="0"/>
        <w:rPr>
          <w:rFonts w:ascii="Times New Roman" w:eastAsia="黑体" w:hAnsi="Times New Roman" w:cs="Times New Roman" w:hint="eastAsia"/>
          <w:sz w:val="32"/>
          <w:szCs w:val="32"/>
        </w:rPr>
      </w:pPr>
      <w:bookmarkStart w:id="1" w:name="_GoBack"/>
      <w:bookmarkEnd w:id="1"/>
    </w:p>
    <w:sectPr w:rsidR="00727FC9">
      <w:headerReference w:type="default" r:id="rId6"/>
      <w:footerReference w:type="default" r:id="rId7"/>
      <w:pgSz w:w="16838" w:h="11900" w:orient="landscape"/>
      <w:pgMar w:top="1531" w:right="1587" w:bottom="1531" w:left="1587" w:header="850" w:footer="992" w:gutter="0"/>
      <w:cols w:space="720"/>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D10" w:rsidRDefault="00E60D10">
      <w:r>
        <w:separator/>
      </w:r>
    </w:p>
  </w:endnote>
  <w:endnote w:type="continuationSeparator" w:id="0">
    <w:p w:rsidR="00E60D10" w:rsidRDefault="00E6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fal">
    <w:altName w:val="方正书宋_GBK"/>
    <w:charset w:val="00"/>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FC9" w:rsidRDefault="00744DAB">
    <w:pPr>
      <w:pStyle w:val="a5"/>
    </w:pPr>
    <w:r>
      <w:rPr>
        <w:noProof/>
      </w:rPr>
      <mc:AlternateContent>
        <mc:Choice Requires="wps">
          <w:drawing>
            <wp:anchor distT="0" distB="0" distL="0" distR="0" simplePos="0" relativeHeight="251657728" behindDoc="0" locked="0" layoutInCell="1" allowOverlap="1">
              <wp:simplePos x="0" y="0"/>
              <wp:positionH relativeFrom="margin">
                <wp:align>outside</wp:align>
              </wp:positionH>
              <wp:positionV relativeFrom="paragraph">
                <wp:posOffset>0</wp:posOffset>
              </wp:positionV>
              <wp:extent cx="1042035" cy="230505"/>
              <wp:effectExtent l="0" t="0" r="0" b="0"/>
              <wp:wrapNone/>
              <wp:docPr id="4097"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035" cy="230505"/>
                      </a:xfrm>
                      <a:prstGeom prst="rect">
                        <a:avLst/>
                      </a:prstGeom>
                      <a:ln>
                        <a:noFill/>
                      </a:ln>
                    </wps:spPr>
                    <wps:txbx>
                      <w:txbxContent>
                        <w:p w:rsidR="00727FC9" w:rsidRDefault="00727FC9">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  \* MERGEFORMAT </w:instrText>
                          </w:r>
                          <w:r>
                            <w:rPr>
                              <w:rFonts w:ascii="Times New Roman" w:hAnsi="Times New Roman" w:cs="Times New Roman"/>
                              <w:sz w:val="24"/>
                              <w:szCs w:val="28"/>
                            </w:rPr>
                            <w:fldChar w:fldCharType="separate"/>
                          </w:r>
                          <w:r w:rsidR="00107D9D">
                            <w:rPr>
                              <w:rFonts w:ascii="Times New Roman" w:hAnsi="Times New Roman" w:cs="Times New Roman"/>
                              <w:noProof/>
                              <w:sz w:val="24"/>
                              <w:szCs w:val="28"/>
                            </w:rPr>
                            <w:t>2</w:t>
                          </w:r>
                          <w:r>
                            <w:rPr>
                              <w:rFonts w:ascii="Times New Roman" w:hAnsi="Times New Roman" w:cs="Times New Roman"/>
                              <w:sz w:val="24"/>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vert="horz" wrap="none" lIns="0" tIns="0" rIns="0" bIns="0" anchor="t">
                      <a:spAutoFit/>
                    </wps:bodyPr>
                  </wps:wsp>
                </a:graphicData>
              </a:graphic>
              <wp14:sizeRelH relativeFrom="page">
                <wp14:pctWidth>0</wp14:pctWidth>
              </wp14:sizeRelH>
              <wp14:sizeRelV relativeFrom="page">
                <wp14:pctHeight>0</wp14:pctHeight>
              </wp14:sizeRelV>
            </wp:anchor>
          </w:drawing>
        </mc:Choice>
        <mc:Fallback>
          <w:pict>
            <v:rect id="文本框 5" o:spid="_x0000_s1026" style="position:absolute;margin-left:30.85pt;margin-top:0;width:82.05pt;height:18.15pt;z-index:251657728;visibility:visible;mso-wrap-style:none;mso-width-percent:0;mso-height-percent:0;mso-wrap-distance-left:0;mso-wrap-distance-top:0;mso-wrap-distance-right:0;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" filled="f" stroked="f">
              <v:path arrowok="t"/>
              <v:textbox style="mso-fit-shape-to-text:t" inset="0,0,0,0">
                <w:txbxContent>
                  <w:p w:rsidR="00727FC9" w:rsidRDefault="00727FC9">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  \* MERGEFORMAT </w:instrText>
                    </w:r>
                    <w:r>
                      <w:rPr>
                        <w:rFonts w:ascii="Times New Roman" w:hAnsi="Times New Roman" w:cs="Times New Roman"/>
                        <w:sz w:val="24"/>
                        <w:szCs w:val="28"/>
                      </w:rPr>
                      <w:fldChar w:fldCharType="separate"/>
                    </w:r>
                    <w:r w:rsidR="00107D9D">
                      <w:rPr>
                        <w:rFonts w:ascii="Times New Roman" w:hAnsi="Times New Roman" w:cs="Times New Roman"/>
                        <w:noProof/>
                        <w:sz w:val="24"/>
                        <w:szCs w:val="28"/>
                      </w:rPr>
                      <w:t>2</w:t>
                    </w:r>
                    <w:r>
                      <w:rPr>
                        <w:rFonts w:ascii="Times New Roman" w:hAnsi="Times New Roman" w:cs="Times New Roman"/>
                        <w:sz w:val="24"/>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D10" w:rsidRDefault="00E60D10">
      <w:r>
        <w:separator/>
      </w:r>
    </w:p>
  </w:footnote>
  <w:footnote w:type="continuationSeparator" w:id="0">
    <w:p w:rsidR="00E60D10" w:rsidRDefault="00E60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FC9" w:rsidRDefault="00727FC9">
    <w:pPr>
      <w:pStyle w:val="a6"/>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0"/>
  <w:drawingGridHorizontalSpacing w:val="105"/>
  <w:drawingGridVerticalSpacing w:val="157"/>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iNzY2NjYwZWJkMTVkNTBhYzhhOGM5MThhYWM2NjkifQ=="/>
  </w:docVars>
  <w:rsids>
    <w:rsidRoot w:val="63A07357"/>
    <w:rsid w:val="A59FAFCD"/>
    <w:rsid w:val="B1E9FF9D"/>
    <w:rsid w:val="B7EEA945"/>
    <w:rsid w:val="B9DF2EFE"/>
    <w:rsid w:val="D661080F"/>
    <w:rsid w:val="F76F8B23"/>
    <w:rsid w:val="F7F8D1E8"/>
    <w:rsid w:val="FFFB7CF6"/>
    <w:rsid w:val="00003110"/>
    <w:rsid w:val="0001618E"/>
    <w:rsid w:val="00034689"/>
    <w:rsid w:val="00040AF8"/>
    <w:rsid w:val="000434ED"/>
    <w:rsid w:val="00044BBE"/>
    <w:rsid w:val="000461F9"/>
    <w:rsid w:val="00052C5D"/>
    <w:rsid w:val="000605F2"/>
    <w:rsid w:val="0006643B"/>
    <w:rsid w:val="00071926"/>
    <w:rsid w:val="00084153"/>
    <w:rsid w:val="000A5C87"/>
    <w:rsid w:val="000A6EA4"/>
    <w:rsid w:val="000B3268"/>
    <w:rsid w:val="000C266E"/>
    <w:rsid w:val="000C5CDC"/>
    <w:rsid w:val="000C6A6A"/>
    <w:rsid w:val="000D1C9E"/>
    <w:rsid w:val="000D3041"/>
    <w:rsid w:val="000D4694"/>
    <w:rsid w:val="000D5B84"/>
    <w:rsid w:val="000E5ACA"/>
    <w:rsid w:val="000F2BEF"/>
    <w:rsid w:val="000F4E07"/>
    <w:rsid w:val="000F50A5"/>
    <w:rsid w:val="000F6839"/>
    <w:rsid w:val="001074B0"/>
    <w:rsid w:val="00107ADA"/>
    <w:rsid w:val="00107D9D"/>
    <w:rsid w:val="00116AEA"/>
    <w:rsid w:val="00121ED7"/>
    <w:rsid w:val="00126C90"/>
    <w:rsid w:val="00127EC4"/>
    <w:rsid w:val="00130AE4"/>
    <w:rsid w:val="001310D7"/>
    <w:rsid w:val="0013195F"/>
    <w:rsid w:val="001403A1"/>
    <w:rsid w:val="001433D8"/>
    <w:rsid w:val="00162C95"/>
    <w:rsid w:val="00173679"/>
    <w:rsid w:val="00176A29"/>
    <w:rsid w:val="00180021"/>
    <w:rsid w:val="00181A03"/>
    <w:rsid w:val="0018462E"/>
    <w:rsid w:val="00184B42"/>
    <w:rsid w:val="001861F3"/>
    <w:rsid w:val="001A0C83"/>
    <w:rsid w:val="001A3235"/>
    <w:rsid w:val="001B51AE"/>
    <w:rsid w:val="001C0EA9"/>
    <w:rsid w:val="001C4330"/>
    <w:rsid w:val="001C4870"/>
    <w:rsid w:val="001D01BB"/>
    <w:rsid w:val="001D1315"/>
    <w:rsid w:val="00204E2F"/>
    <w:rsid w:val="00211B3A"/>
    <w:rsid w:val="00211F88"/>
    <w:rsid w:val="00217F3F"/>
    <w:rsid w:val="0022366D"/>
    <w:rsid w:val="00226725"/>
    <w:rsid w:val="002369FD"/>
    <w:rsid w:val="00257935"/>
    <w:rsid w:val="00274695"/>
    <w:rsid w:val="00275C6C"/>
    <w:rsid w:val="00283820"/>
    <w:rsid w:val="00283BC6"/>
    <w:rsid w:val="00283CE6"/>
    <w:rsid w:val="002A0D80"/>
    <w:rsid w:val="002A5963"/>
    <w:rsid w:val="002B056F"/>
    <w:rsid w:val="002B6419"/>
    <w:rsid w:val="002C6252"/>
    <w:rsid w:val="002C673C"/>
    <w:rsid w:val="002E18CB"/>
    <w:rsid w:val="002E288E"/>
    <w:rsid w:val="002E79E5"/>
    <w:rsid w:val="002F0599"/>
    <w:rsid w:val="002F2E54"/>
    <w:rsid w:val="002F6453"/>
    <w:rsid w:val="00303B77"/>
    <w:rsid w:val="00320807"/>
    <w:rsid w:val="00324070"/>
    <w:rsid w:val="00335A13"/>
    <w:rsid w:val="00336CFD"/>
    <w:rsid w:val="003439C7"/>
    <w:rsid w:val="00365B50"/>
    <w:rsid w:val="00376059"/>
    <w:rsid w:val="003909A8"/>
    <w:rsid w:val="00394DDE"/>
    <w:rsid w:val="003A185A"/>
    <w:rsid w:val="003B2946"/>
    <w:rsid w:val="003B4D97"/>
    <w:rsid w:val="003B52B8"/>
    <w:rsid w:val="003D0707"/>
    <w:rsid w:val="003D0A3F"/>
    <w:rsid w:val="003D2C0D"/>
    <w:rsid w:val="003D3766"/>
    <w:rsid w:val="003D3B8C"/>
    <w:rsid w:val="003D535A"/>
    <w:rsid w:val="004108E9"/>
    <w:rsid w:val="00417F86"/>
    <w:rsid w:val="004204E1"/>
    <w:rsid w:val="00433387"/>
    <w:rsid w:val="00434BF0"/>
    <w:rsid w:val="00434E32"/>
    <w:rsid w:val="004350E5"/>
    <w:rsid w:val="00441663"/>
    <w:rsid w:val="00450394"/>
    <w:rsid w:val="00452D77"/>
    <w:rsid w:val="00460CB7"/>
    <w:rsid w:val="004628A3"/>
    <w:rsid w:val="004639A2"/>
    <w:rsid w:val="00466B8E"/>
    <w:rsid w:val="00471FB1"/>
    <w:rsid w:val="0047286B"/>
    <w:rsid w:val="00477257"/>
    <w:rsid w:val="004814FB"/>
    <w:rsid w:val="00484992"/>
    <w:rsid w:val="00494B03"/>
    <w:rsid w:val="004A60F8"/>
    <w:rsid w:val="004A6C09"/>
    <w:rsid w:val="004C13BE"/>
    <w:rsid w:val="004D06A1"/>
    <w:rsid w:val="004D61F2"/>
    <w:rsid w:val="004D77E3"/>
    <w:rsid w:val="004F7383"/>
    <w:rsid w:val="005065CB"/>
    <w:rsid w:val="00506EE4"/>
    <w:rsid w:val="00507738"/>
    <w:rsid w:val="00522782"/>
    <w:rsid w:val="0052416E"/>
    <w:rsid w:val="005242C6"/>
    <w:rsid w:val="00525993"/>
    <w:rsid w:val="00526416"/>
    <w:rsid w:val="00534D4C"/>
    <w:rsid w:val="00541875"/>
    <w:rsid w:val="00541CEE"/>
    <w:rsid w:val="00547DA1"/>
    <w:rsid w:val="00551A96"/>
    <w:rsid w:val="005612FC"/>
    <w:rsid w:val="00575470"/>
    <w:rsid w:val="00576481"/>
    <w:rsid w:val="00576EA8"/>
    <w:rsid w:val="00581FF7"/>
    <w:rsid w:val="00583099"/>
    <w:rsid w:val="00583163"/>
    <w:rsid w:val="00587ACC"/>
    <w:rsid w:val="005A2C0D"/>
    <w:rsid w:val="005B7D5E"/>
    <w:rsid w:val="005C17BC"/>
    <w:rsid w:val="005C6290"/>
    <w:rsid w:val="005E4E94"/>
    <w:rsid w:val="005F7B23"/>
    <w:rsid w:val="006005BD"/>
    <w:rsid w:val="00604B9A"/>
    <w:rsid w:val="006071BB"/>
    <w:rsid w:val="00612EF5"/>
    <w:rsid w:val="00632760"/>
    <w:rsid w:val="00633E34"/>
    <w:rsid w:val="00635CA0"/>
    <w:rsid w:val="006364D0"/>
    <w:rsid w:val="006373A8"/>
    <w:rsid w:val="00646BA8"/>
    <w:rsid w:val="006572F5"/>
    <w:rsid w:val="00674779"/>
    <w:rsid w:val="00685B0C"/>
    <w:rsid w:val="00696882"/>
    <w:rsid w:val="00696D98"/>
    <w:rsid w:val="006A662C"/>
    <w:rsid w:val="006B090C"/>
    <w:rsid w:val="006B193C"/>
    <w:rsid w:val="006B3327"/>
    <w:rsid w:val="006B3E71"/>
    <w:rsid w:val="006B4D16"/>
    <w:rsid w:val="006C0DAA"/>
    <w:rsid w:val="006C5682"/>
    <w:rsid w:val="006D669A"/>
    <w:rsid w:val="006E0680"/>
    <w:rsid w:val="006E6D2C"/>
    <w:rsid w:val="00722F9B"/>
    <w:rsid w:val="007235C5"/>
    <w:rsid w:val="00727FC9"/>
    <w:rsid w:val="00733221"/>
    <w:rsid w:val="007343C4"/>
    <w:rsid w:val="00744DAB"/>
    <w:rsid w:val="00747CBD"/>
    <w:rsid w:val="00776D86"/>
    <w:rsid w:val="007830EA"/>
    <w:rsid w:val="00795281"/>
    <w:rsid w:val="007B278A"/>
    <w:rsid w:val="007D1713"/>
    <w:rsid w:val="007D218E"/>
    <w:rsid w:val="007E0B35"/>
    <w:rsid w:val="007F36FA"/>
    <w:rsid w:val="007F4900"/>
    <w:rsid w:val="007F4D2D"/>
    <w:rsid w:val="00801E9B"/>
    <w:rsid w:val="00810831"/>
    <w:rsid w:val="00813D1A"/>
    <w:rsid w:val="0082536E"/>
    <w:rsid w:val="00832A89"/>
    <w:rsid w:val="00840BF1"/>
    <w:rsid w:val="008553A2"/>
    <w:rsid w:val="00867B01"/>
    <w:rsid w:val="008768D3"/>
    <w:rsid w:val="00884B47"/>
    <w:rsid w:val="00893503"/>
    <w:rsid w:val="0089360F"/>
    <w:rsid w:val="008A7A01"/>
    <w:rsid w:val="008C6EA4"/>
    <w:rsid w:val="008D057F"/>
    <w:rsid w:val="008D1869"/>
    <w:rsid w:val="008D41C9"/>
    <w:rsid w:val="008D74E1"/>
    <w:rsid w:val="008E1AED"/>
    <w:rsid w:val="008F5B7A"/>
    <w:rsid w:val="008F6D30"/>
    <w:rsid w:val="00903CF9"/>
    <w:rsid w:val="00912194"/>
    <w:rsid w:val="00925893"/>
    <w:rsid w:val="00930E56"/>
    <w:rsid w:val="00937A42"/>
    <w:rsid w:val="00942A21"/>
    <w:rsid w:val="0094770D"/>
    <w:rsid w:val="009556D3"/>
    <w:rsid w:val="0096400F"/>
    <w:rsid w:val="00970D9D"/>
    <w:rsid w:val="009749F7"/>
    <w:rsid w:val="009804E5"/>
    <w:rsid w:val="00991D48"/>
    <w:rsid w:val="009941F6"/>
    <w:rsid w:val="0099454A"/>
    <w:rsid w:val="00995B79"/>
    <w:rsid w:val="009967F7"/>
    <w:rsid w:val="00996CE7"/>
    <w:rsid w:val="009A00AE"/>
    <w:rsid w:val="009A170A"/>
    <w:rsid w:val="009A7056"/>
    <w:rsid w:val="009B061B"/>
    <w:rsid w:val="009C2478"/>
    <w:rsid w:val="009C648A"/>
    <w:rsid w:val="009C7E4F"/>
    <w:rsid w:val="009D135D"/>
    <w:rsid w:val="009D6B39"/>
    <w:rsid w:val="009D7967"/>
    <w:rsid w:val="009E08A7"/>
    <w:rsid w:val="009E374F"/>
    <w:rsid w:val="009F5360"/>
    <w:rsid w:val="009F5D75"/>
    <w:rsid w:val="009F713D"/>
    <w:rsid w:val="00A01704"/>
    <w:rsid w:val="00A21580"/>
    <w:rsid w:val="00A23E32"/>
    <w:rsid w:val="00A24EAD"/>
    <w:rsid w:val="00A34205"/>
    <w:rsid w:val="00A36328"/>
    <w:rsid w:val="00A47B26"/>
    <w:rsid w:val="00A50B57"/>
    <w:rsid w:val="00A50EC2"/>
    <w:rsid w:val="00A57924"/>
    <w:rsid w:val="00A626F4"/>
    <w:rsid w:val="00A6781F"/>
    <w:rsid w:val="00A722FB"/>
    <w:rsid w:val="00A91827"/>
    <w:rsid w:val="00AA2C90"/>
    <w:rsid w:val="00AA2DB6"/>
    <w:rsid w:val="00AB1787"/>
    <w:rsid w:val="00AC35A8"/>
    <w:rsid w:val="00AD41EC"/>
    <w:rsid w:val="00AD4EEC"/>
    <w:rsid w:val="00AD6E12"/>
    <w:rsid w:val="00AD7194"/>
    <w:rsid w:val="00AF2244"/>
    <w:rsid w:val="00AF6154"/>
    <w:rsid w:val="00B1075C"/>
    <w:rsid w:val="00B16259"/>
    <w:rsid w:val="00B16A86"/>
    <w:rsid w:val="00B3137F"/>
    <w:rsid w:val="00B41A4D"/>
    <w:rsid w:val="00B456F0"/>
    <w:rsid w:val="00B54DED"/>
    <w:rsid w:val="00B55B62"/>
    <w:rsid w:val="00B659DA"/>
    <w:rsid w:val="00B659F5"/>
    <w:rsid w:val="00B72B01"/>
    <w:rsid w:val="00B74503"/>
    <w:rsid w:val="00B76A0C"/>
    <w:rsid w:val="00B77765"/>
    <w:rsid w:val="00B82193"/>
    <w:rsid w:val="00B90BE3"/>
    <w:rsid w:val="00B93929"/>
    <w:rsid w:val="00B95017"/>
    <w:rsid w:val="00BB0C85"/>
    <w:rsid w:val="00BB6E99"/>
    <w:rsid w:val="00BB74C9"/>
    <w:rsid w:val="00BC16E1"/>
    <w:rsid w:val="00BD70BA"/>
    <w:rsid w:val="00BE25FD"/>
    <w:rsid w:val="00BE3439"/>
    <w:rsid w:val="00BE5B5C"/>
    <w:rsid w:val="00BE6958"/>
    <w:rsid w:val="00BF1259"/>
    <w:rsid w:val="00C05679"/>
    <w:rsid w:val="00C10689"/>
    <w:rsid w:val="00C2187C"/>
    <w:rsid w:val="00C324A9"/>
    <w:rsid w:val="00C35BDA"/>
    <w:rsid w:val="00C40B73"/>
    <w:rsid w:val="00C40E0D"/>
    <w:rsid w:val="00C40E6F"/>
    <w:rsid w:val="00C44C1D"/>
    <w:rsid w:val="00C457A4"/>
    <w:rsid w:val="00C4627E"/>
    <w:rsid w:val="00C71AA7"/>
    <w:rsid w:val="00C72993"/>
    <w:rsid w:val="00C740E8"/>
    <w:rsid w:val="00C748ED"/>
    <w:rsid w:val="00C76A76"/>
    <w:rsid w:val="00C90084"/>
    <w:rsid w:val="00CA2A02"/>
    <w:rsid w:val="00CA540D"/>
    <w:rsid w:val="00CA7276"/>
    <w:rsid w:val="00CC64AB"/>
    <w:rsid w:val="00CC6CC8"/>
    <w:rsid w:val="00CE5AE0"/>
    <w:rsid w:val="00CF46CF"/>
    <w:rsid w:val="00CF5821"/>
    <w:rsid w:val="00CF67F3"/>
    <w:rsid w:val="00D07850"/>
    <w:rsid w:val="00D079F6"/>
    <w:rsid w:val="00D10DBD"/>
    <w:rsid w:val="00D142CD"/>
    <w:rsid w:val="00D213C6"/>
    <w:rsid w:val="00D21B87"/>
    <w:rsid w:val="00D260BC"/>
    <w:rsid w:val="00D266A9"/>
    <w:rsid w:val="00D34A15"/>
    <w:rsid w:val="00D45130"/>
    <w:rsid w:val="00D53E69"/>
    <w:rsid w:val="00D54312"/>
    <w:rsid w:val="00D56CF2"/>
    <w:rsid w:val="00D61280"/>
    <w:rsid w:val="00D65209"/>
    <w:rsid w:val="00D85B9E"/>
    <w:rsid w:val="00DA2895"/>
    <w:rsid w:val="00DA6B5B"/>
    <w:rsid w:val="00DB0C5E"/>
    <w:rsid w:val="00DB1900"/>
    <w:rsid w:val="00DB407F"/>
    <w:rsid w:val="00DC0959"/>
    <w:rsid w:val="00DC1404"/>
    <w:rsid w:val="00DC1ABC"/>
    <w:rsid w:val="00DC55AE"/>
    <w:rsid w:val="00DC6A19"/>
    <w:rsid w:val="00DE0B6E"/>
    <w:rsid w:val="00DE1B57"/>
    <w:rsid w:val="00DE6A4A"/>
    <w:rsid w:val="00E042FD"/>
    <w:rsid w:val="00E045DE"/>
    <w:rsid w:val="00E10E60"/>
    <w:rsid w:val="00E13EAB"/>
    <w:rsid w:val="00E22D4E"/>
    <w:rsid w:val="00E3667F"/>
    <w:rsid w:val="00E41127"/>
    <w:rsid w:val="00E47293"/>
    <w:rsid w:val="00E60D10"/>
    <w:rsid w:val="00E66EC8"/>
    <w:rsid w:val="00E71219"/>
    <w:rsid w:val="00E84E70"/>
    <w:rsid w:val="00E91C08"/>
    <w:rsid w:val="00EA4508"/>
    <w:rsid w:val="00EB0769"/>
    <w:rsid w:val="00EB5E9F"/>
    <w:rsid w:val="00ED0E9A"/>
    <w:rsid w:val="00ED63D5"/>
    <w:rsid w:val="00EE001F"/>
    <w:rsid w:val="00EE1292"/>
    <w:rsid w:val="00EE60B2"/>
    <w:rsid w:val="00EF3909"/>
    <w:rsid w:val="00EF45DB"/>
    <w:rsid w:val="00F168B2"/>
    <w:rsid w:val="00F208E1"/>
    <w:rsid w:val="00F40C24"/>
    <w:rsid w:val="00F43976"/>
    <w:rsid w:val="00F50D9E"/>
    <w:rsid w:val="00F570B1"/>
    <w:rsid w:val="00F5791C"/>
    <w:rsid w:val="00F57A65"/>
    <w:rsid w:val="00F6579D"/>
    <w:rsid w:val="00F77647"/>
    <w:rsid w:val="00F955D2"/>
    <w:rsid w:val="00FB06EB"/>
    <w:rsid w:val="00FC0282"/>
    <w:rsid w:val="00FD28C5"/>
    <w:rsid w:val="00FE08E0"/>
    <w:rsid w:val="00FE2D29"/>
    <w:rsid w:val="01D71969"/>
    <w:rsid w:val="0F7847BE"/>
    <w:rsid w:val="126132F4"/>
    <w:rsid w:val="17F25566"/>
    <w:rsid w:val="1A1E32AC"/>
    <w:rsid w:val="1CC539A7"/>
    <w:rsid w:val="1F6B6569"/>
    <w:rsid w:val="1F984D29"/>
    <w:rsid w:val="228356B2"/>
    <w:rsid w:val="2ACD7048"/>
    <w:rsid w:val="32B864AB"/>
    <w:rsid w:val="34C46423"/>
    <w:rsid w:val="3B6A4894"/>
    <w:rsid w:val="3C951B5E"/>
    <w:rsid w:val="3FF7EC77"/>
    <w:rsid w:val="495B1666"/>
    <w:rsid w:val="49FC29AC"/>
    <w:rsid w:val="55DD7FA5"/>
    <w:rsid w:val="5CD56B70"/>
    <w:rsid w:val="5F3E2BD2"/>
    <w:rsid w:val="5FCF4C8F"/>
    <w:rsid w:val="61227EAA"/>
    <w:rsid w:val="63A07357"/>
    <w:rsid w:val="63ABC76C"/>
    <w:rsid w:val="655B0E08"/>
    <w:rsid w:val="672978D0"/>
    <w:rsid w:val="681C50D1"/>
    <w:rsid w:val="6AEF9EBD"/>
    <w:rsid w:val="720A4F88"/>
    <w:rsid w:val="728D10EE"/>
    <w:rsid w:val="79FE546B"/>
    <w:rsid w:val="7B5D06EF"/>
    <w:rsid w:val="7B7A934E"/>
    <w:rsid w:val="7EEEC0EE"/>
    <w:rsid w:val="7FBF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1DF81A76-F94D-4B84-AFDE-903208F3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toc 3" w:uiPriority="39"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qFormat/>
    <w:rPr>
      <w:rFonts w:ascii="宋体" w:eastAsia="宋体" w:hAnsi="宋体" w:cs="宋体"/>
      <w:b/>
      <w:bCs/>
      <w:kern w:val="0"/>
      <w:sz w:val="36"/>
      <w:szCs w:val="36"/>
    </w:rPr>
  </w:style>
  <w:style w:type="paragraph" w:styleId="a3">
    <w:name w:val="annotation text"/>
    <w:basedOn w:val="a"/>
    <w:pPr>
      <w:jc w:val="left"/>
    </w:pPr>
  </w:style>
  <w:style w:type="paragraph" w:styleId="3">
    <w:name w:val="toc 3"/>
    <w:basedOn w:val="a"/>
    <w:next w:val="a"/>
    <w:uiPriority w:val="39"/>
    <w:unhideWhenUsed/>
    <w:qFormat/>
    <w:pPr>
      <w:widowControl/>
      <w:spacing w:after="100" w:line="276" w:lineRule="auto"/>
      <w:ind w:left="440"/>
      <w:jc w:val="left"/>
    </w:pPr>
    <w:rPr>
      <w:rFonts w:cs="Times New Roman"/>
      <w:kern w:val="0"/>
      <w:sz w:val="22"/>
    </w:rPr>
  </w:style>
  <w:style w:type="paragraph" w:styleId="a4">
    <w:name w:val="Balloon Text"/>
    <w:basedOn w:val="a"/>
    <w:link w:val="Char"/>
    <w:rPr>
      <w:sz w:val="18"/>
      <w:szCs w:val="18"/>
    </w:rPr>
  </w:style>
  <w:style w:type="character" w:customStyle="1" w:styleId="Char">
    <w:name w:val="批注框文本 Char"/>
    <w:link w:val="a4"/>
    <w:uiPriority w:val="99"/>
    <w:qFormat/>
    <w:rPr>
      <w:sz w:val="18"/>
      <w:szCs w:val="18"/>
    </w:rPr>
  </w:style>
  <w:style w:type="paragraph" w:styleId="a5">
    <w:name w:val="footer"/>
    <w:basedOn w:val="a"/>
    <w:link w:val="Char0"/>
    <w:pPr>
      <w:tabs>
        <w:tab w:val="center" w:pos="4153"/>
        <w:tab w:val="right" w:pos="8306"/>
      </w:tabs>
      <w:snapToGrid w:val="0"/>
      <w:jc w:val="left"/>
    </w:pPr>
    <w:rPr>
      <w:sz w:val="18"/>
      <w:szCs w:val="18"/>
    </w:rPr>
  </w:style>
  <w:style w:type="character" w:customStyle="1" w:styleId="Char0">
    <w:name w:val="页脚 Char"/>
    <w:link w:val="a5"/>
    <w:uiPriority w:val="99"/>
    <w:qFormat/>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qFormat/>
    <w:rPr>
      <w:sz w:val="18"/>
      <w:szCs w:val="18"/>
    </w:rPr>
  </w:style>
  <w:style w:type="paragraph" w:styleId="10">
    <w:name w:val="toc 1"/>
    <w:basedOn w:val="a"/>
    <w:next w:val="a"/>
    <w:uiPriority w:val="39"/>
    <w:qFormat/>
  </w:style>
  <w:style w:type="paragraph" w:styleId="20">
    <w:name w:val="toc 2"/>
    <w:basedOn w:val="a"/>
    <w:next w:val="a"/>
    <w:uiPriority w:val="39"/>
    <w:unhideWhenUsed/>
    <w:qFormat/>
    <w:pPr>
      <w:widowControl/>
      <w:spacing w:after="100" w:line="276" w:lineRule="auto"/>
      <w:ind w:left="220"/>
      <w:jc w:val="left"/>
    </w:pPr>
    <w:rPr>
      <w:rFonts w:cs="Times New Roman"/>
      <w:kern w:val="0"/>
      <w:sz w:val="22"/>
    </w:rPr>
  </w:style>
  <w:style w:type="paragraph" w:styleId="a7">
    <w:name w:val="Normal (Web)"/>
    <w:basedOn w:val="a"/>
    <w:qFormat/>
    <w:rPr>
      <w:sz w:val="24"/>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bCs/>
    </w:rPr>
  </w:style>
  <w:style w:type="character" w:styleId="aa">
    <w:name w:val="FollowedHyperlink"/>
    <w:rPr>
      <w:color w:val="800080"/>
      <w:u w:val="single"/>
    </w:rPr>
  </w:style>
  <w:style w:type="character" w:styleId="ab">
    <w:name w:val="Hyperlink"/>
    <w:uiPriority w:val="99"/>
    <w:rPr>
      <w:color w:val="0000FF"/>
      <w:u w:val="single"/>
    </w:rPr>
  </w:style>
  <w:style w:type="paragraph" w:customStyle="1" w:styleId="Default">
    <w:name w:val="Default"/>
    <w:uiPriority w:val="99"/>
    <w:qFormat/>
    <w:pPr>
      <w:widowControl w:val="0"/>
      <w:autoSpaceDE w:val="0"/>
      <w:autoSpaceDN w:val="0"/>
      <w:adjustRightInd w:val="0"/>
    </w:pPr>
    <w:rPr>
      <w:rFonts w:ascii="Calibri" w:eastAsia="宋体fal" w:hAnsi="Calibri"/>
      <w:color w:val="000000"/>
      <w:sz w:val="24"/>
      <w:szCs w:val="24"/>
    </w:rPr>
  </w:style>
  <w:style w:type="paragraph" w:customStyle="1" w:styleId="21">
    <w:name w:val="方正2"/>
    <w:basedOn w:val="1"/>
    <w:next w:val="a"/>
    <w:link w:val="2Char0"/>
    <w:qFormat/>
    <w:pPr>
      <w:adjustRightInd w:val="0"/>
      <w:snapToGrid w:val="0"/>
      <w:spacing w:before="0" w:after="0" w:line="600" w:lineRule="exact"/>
      <w:jc w:val="center"/>
    </w:pPr>
    <w:rPr>
      <w:rFonts w:eastAsia="方正小标宋简体"/>
      <w:b w:val="0"/>
    </w:rPr>
  </w:style>
  <w:style w:type="character" w:customStyle="1" w:styleId="2Char0">
    <w:name w:val="方正2 Char"/>
    <w:link w:val="21"/>
    <w:qFormat/>
    <w:rPr>
      <w:rFonts w:eastAsia="方正小标宋简体"/>
      <w:bCs/>
      <w:kern w:val="44"/>
      <w:sz w:val="44"/>
      <w:szCs w:val="44"/>
    </w:rPr>
  </w:style>
  <w:style w:type="paragraph" w:customStyle="1" w:styleId="22">
    <w:name w:val="方正小标宋2"/>
    <w:basedOn w:val="a"/>
    <w:next w:val="a"/>
    <w:link w:val="2Char1"/>
    <w:qFormat/>
    <w:pPr>
      <w:jc w:val="center"/>
    </w:pPr>
    <w:rPr>
      <w:rFonts w:ascii="方正小标宋简体" w:eastAsia="方正小标宋简体" w:hAnsi="方正小标宋简体" w:cs="方正小标宋简体"/>
      <w:sz w:val="44"/>
      <w:szCs w:val="44"/>
    </w:rPr>
  </w:style>
  <w:style w:type="character" w:customStyle="1" w:styleId="2Char1">
    <w:name w:val="方正小标宋2 Char"/>
    <w:link w:val="22"/>
    <w:qFormat/>
    <w:rPr>
      <w:rFonts w:ascii="方正小标宋简体" w:eastAsia="方正小标宋简体" w:hAnsi="方正小标宋简体" w:cs="方正小标宋简体"/>
      <w:sz w:val="44"/>
      <w:szCs w:val="44"/>
    </w:rPr>
  </w:style>
  <w:style w:type="paragraph" w:customStyle="1" w:styleId="GB2312">
    <w:name w:val="仿宋GB2312"/>
    <w:basedOn w:val="a"/>
    <w:link w:val="GB23120"/>
    <w:qFormat/>
    <w:pPr>
      <w:spacing w:line="560" w:lineRule="exact"/>
      <w:ind w:firstLineChars="200" w:firstLine="200"/>
    </w:pPr>
    <w:rPr>
      <w:rFonts w:ascii="仿宋_GB2312" w:eastAsia="仿宋_GB2312" w:hAnsi="仿宋_GB2312" w:cs="仿宋_GB2312"/>
      <w:sz w:val="32"/>
      <w:szCs w:val="32"/>
    </w:rPr>
  </w:style>
  <w:style w:type="character" w:customStyle="1" w:styleId="GB23120">
    <w:name w:val="仿宋GB2312 字符"/>
    <w:link w:val="GB2312"/>
    <w:qFormat/>
    <w:rPr>
      <w:rFonts w:ascii="仿宋_GB2312" w:eastAsia="仿宋_GB2312" w:hAnsi="仿宋_GB2312" w:cs="仿宋_GB2312"/>
      <w:sz w:val="32"/>
      <w:szCs w:val="32"/>
    </w:rPr>
  </w:style>
  <w:style w:type="paragraph" w:customStyle="1" w:styleId="GB">
    <w:name w:val="仿宋GB"/>
    <w:basedOn w:val="a"/>
    <w:qFormat/>
    <w:pPr>
      <w:adjustRightInd w:val="0"/>
      <w:snapToGrid w:val="0"/>
      <w:spacing w:line="560" w:lineRule="exact"/>
      <w:ind w:firstLineChars="200" w:firstLine="200"/>
    </w:pPr>
    <w:rPr>
      <w:rFonts w:ascii="仿宋_GB2312" w:eastAsia="仿宋_GB2312" w:hAnsi="仿宋_GB2312" w:cs="仿宋_GB2312"/>
      <w:sz w:val="32"/>
      <w:szCs w:val="32"/>
    </w:rPr>
  </w:style>
  <w:style w:type="paragraph" w:styleId="ac">
    <w:name w:val="List Paragraph"/>
    <w:basedOn w:val="a"/>
    <w:uiPriority w:val="34"/>
    <w:qFormat/>
    <w:pPr>
      <w:ind w:firstLineChars="200" w:firstLine="420"/>
    </w:pPr>
  </w:style>
  <w:style w:type="paragraph" w:customStyle="1" w:styleId="11">
    <w:name w:val="修订1"/>
    <w:uiPriority w:val="99"/>
    <w:qFormat/>
    <w:rPr>
      <w:rFonts w:ascii="Calibri" w:hAnsi="Calibri" w:cs="宋体"/>
      <w:kern w:val="2"/>
      <w:sz w:val="21"/>
      <w:szCs w:val="22"/>
    </w:rPr>
  </w:style>
  <w:style w:type="paragraph" w:customStyle="1" w:styleId="msolistparagraph0">
    <w:name w:val="msolistparagraph"/>
    <w:basedOn w:val="a"/>
    <w:qFormat/>
    <w:pPr>
      <w:ind w:firstLineChars="200" w:firstLine="420"/>
    </w:pPr>
    <w:rPr>
      <w:rFonts w:cs="Times New Roman"/>
    </w:rPr>
  </w:style>
  <w:style w:type="paragraph" w:customStyle="1" w:styleId="WPSOffice1">
    <w:name w:val="WPSOffice手动目录 1"/>
    <w:qFormat/>
    <w:rPr>
      <w:rFonts w:ascii="Calibri" w:hAnsi="Calibri" w:cs="Calibri"/>
    </w:rPr>
  </w:style>
  <w:style w:type="paragraph" w:customStyle="1" w:styleId="font5">
    <w:name w:val="font5"/>
    <w:basedOn w:val="a"/>
    <w:pPr>
      <w:widowControl/>
      <w:spacing w:before="100" w:beforeAutospacing="1" w:after="100" w:afterAutospacing="1"/>
      <w:jc w:val="left"/>
    </w:pPr>
    <w:rPr>
      <w:rFonts w:ascii="宋体" w:hAnsi="宋体"/>
      <w:kern w:val="0"/>
      <w:sz w:val="18"/>
      <w:szCs w:val="18"/>
    </w:rPr>
  </w:style>
  <w:style w:type="paragraph" w:customStyle="1" w:styleId="font6">
    <w:name w:val="font6"/>
    <w:basedOn w:val="a"/>
    <w:pPr>
      <w:widowControl/>
      <w:spacing w:before="100" w:beforeAutospacing="1" w:after="100" w:afterAutospacing="1"/>
      <w:jc w:val="left"/>
    </w:pPr>
    <w:rPr>
      <w:rFonts w:ascii="Arial" w:hAnsi="Arial" w:cs="Arial"/>
      <w:color w:val="000000"/>
      <w:kern w:val="0"/>
      <w:sz w:val="22"/>
    </w:rPr>
  </w:style>
  <w:style w:type="paragraph" w:customStyle="1" w:styleId="font7">
    <w:name w:val="font7"/>
    <w:basedOn w:val="a"/>
    <w:pPr>
      <w:widowControl/>
      <w:spacing w:before="100" w:beforeAutospacing="1" w:after="100" w:afterAutospacing="1"/>
      <w:jc w:val="left"/>
    </w:pPr>
    <w:rPr>
      <w:rFonts w:ascii="宋体" w:hAnsi="宋体"/>
      <w:color w:val="000000"/>
      <w:kern w:val="0"/>
      <w:sz w:val="22"/>
    </w:rPr>
  </w:style>
  <w:style w:type="paragraph" w:customStyle="1" w:styleId="xl76">
    <w:name w:val="xl76"/>
    <w:basedOn w:val="a"/>
    <w:pPr>
      <w:widowControl/>
      <w:spacing w:before="100" w:beforeAutospacing="1" w:after="100" w:afterAutospacing="1"/>
      <w:jc w:val="left"/>
    </w:pPr>
    <w:rPr>
      <w:rFonts w:ascii="宋体" w:hAnsi="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85">
    <w:name w:val="xl85"/>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91">
    <w:name w:val="xl91"/>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92">
    <w:name w:val="xl92"/>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93">
    <w:name w:val="xl9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94">
    <w:name w:val="xl94"/>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olor w:val="000000"/>
      <w:kern w:val="0"/>
      <w:sz w:val="20"/>
      <w:szCs w:val="2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000000"/>
      <w:kern w:val="0"/>
      <w:sz w:val="20"/>
      <w:szCs w:val="20"/>
    </w:rPr>
  </w:style>
  <w:style w:type="paragraph" w:customStyle="1" w:styleId="xl96">
    <w:name w:val="xl96"/>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97">
    <w:name w:val="xl9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98">
    <w:name w:val="xl98"/>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99">
    <w:name w:val="xl9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00">
    <w:name w:val="xl100"/>
    <w:basedOn w:val="a"/>
    <w:pPr>
      <w:widowControl/>
      <w:shd w:val="clear" w:color="000000" w:fill="FFFF00"/>
      <w:spacing w:before="100" w:beforeAutospacing="1" w:after="100" w:afterAutospacing="1"/>
      <w:jc w:val="left"/>
    </w:pPr>
    <w:rPr>
      <w:rFonts w:ascii="宋体" w:hAnsi="宋体"/>
      <w:kern w:val="0"/>
      <w:sz w:val="20"/>
      <w:szCs w:val="20"/>
    </w:rPr>
  </w:style>
  <w:style w:type="paragraph" w:customStyle="1" w:styleId="xl101">
    <w:name w:val="xl101"/>
    <w:basedOn w:val="a"/>
    <w:pPr>
      <w:widowControl/>
      <w:spacing w:before="100" w:beforeAutospacing="1" w:after="100" w:afterAutospacing="1"/>
      <w:jc w:val="left"/>
    </w:pPr>
    <w:rPr>
      <w:rFonts w:ascii="宋体" w:hAnsi="宋体"/>
      <w:kern w:val="0"/>
      <w:sz w:val="20"/>
      <w:szCs w:val="20"/>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18"/>
      <w:szCs w:val="18"/>
    </w:rPr>
  </w:style>
  <w:style w:type="paragraph" w:customStyle="1" w:styleId="xl103">
    <w:name w:val="xl10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b/>
      <w:bCs/>
      <w:kern w:val="0"/>
      <w:sz w:val="20"/>
      <w:szCs w:val="20"/>
    </w:rPr>
  </w:style>
  <w:style w:type="paragraph" w:customStyle="1" w:styleId="xl105">
    <w:name w:val="xl1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宋体" w:hAnsi="宋体"/>
      <w:b/>
      <w:bCs/>
      <w:kern w:val="0"/>
      <w:sz w:val="18"/>
      <w:szCs w:val="18"/>
    </w:rPr>
  </w:style>
  <w:style w:type="paragraph" w:customStyle="1" w:styleId="xl107">
    <w:name w:val="xl10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09">
    <w:name w:val="xl109"/>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bCs/>
      <w:kern w:val="0"/>
      <w:sz w:val="18"/>
      <w:szCs w:val="18"/>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宋体" w:hAnsi="宋体"/>
      <w:b/>
      <w:bCs/>
      <w:kern w:val="0"/>
      <w:sz w:val="18"/>
      <w:szCs w:val="18"/>
    </w:rPr>
  </w:style>
  <w:style w:type="paragraph" w:customStyle="1" w:styleId="xl111">
    <w:name w:val="xl111"/>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szCs w:val="20"/>
    </w:rPr>
  </w:style>
  <w:style w:type="paragraph" w:customStyle="1" w:styleId="xl112">
    <w:name w:val="xl112"/>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13">
    <w:name w:val="xl11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18">
    <w:name w:val="xl11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119">
    <w:name w:val="xl11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20">
    <w:name w:val="xl12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21">
    <w:name w:val="xl12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22">
    <w:name w:val="xl122"/>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23">
    <w:name w:val="xl1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24">
    <w:name w:val="xl124"/>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25">
    <w:name w:val="xl125"/>
    <w:basedOn w:val="a"/>
    <w:pPr>
      <w:widowControl/>
      <w:pBdr>
        <w:top w:val="single" w:sz="4" w:space="0" w:color="auto"/>
        <w:left w:val="single" w:sz="4" w:space="0" w:color="auto"/>
      </w:pBdr>
      <w:spacing w:before="100" w:beforeAutospacing="1" w:after="100" w:afterAutospacing="1"/>
      <w:jc w:val="left"/>
    </w:pPr>
    <w:rPr>
      <w:rFonts w:ascii="宋体" w:hAnsi="宋体"/>
      <w:kern w:val="0"/>
      <w:sz w:val="20"/>
      <w:szCs w:val="20"/>
    </w:rPr>
  </w:style>
  <w:style w:type="paragraph" w:customStyle="1" w:styleId="xl126">
    <w:name w:val="xl126"/>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27">
    <w:name w:val="xl127"/>
    <w:basedOn w:val="a"/>
    <w:pPr>
      <w:widowControl/>
      <w:pBdr>
        <w:top w:val="single" w:sz="4" w:space="0" w:color="auto"/>
        <w:left w:val="single" w:sz="4" w:space="0" w:color="auto"/>
      </w:pBdr>
      <w:spacing w:before="100" w:beforeAutospacing="1" w:after="100" w:afterAutospacing="1"/>
      <w:jc w:val="left"/>
    </w:pPr>
    <w:rPr>
      <w:rFonts w:ascii="宋体" w:hAnsi="宋体"/>
      <w:kern w:val="0"/>
      <w:sz w:val="20"/>
      <w:szCs w:val="20"/>
    </w:rPr>
  </w:style>
  <w:style w:type="paragraph" w:customStyle="1" w:styleId="xl128">
    <w:name w:val="xl1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29">
    <w:name w:val="xl12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0">
    <w:name w:val="xl13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1">
    <w:name w:val="xl131"/>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2">
    <w:name w:val="xl132"/>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3">
    <w:name w:val="xl13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4">
    <w:name w:val="xl13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5">
    <w:name w:val="xl13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6">
    <w:name w:val="xl13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37">
    <w:name w:val="xl1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8">
    <w:name w:val="xl138"/>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139">
    <w:name w:val="xl139"/>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0"/>
      <w:szCs w:val="20"/>
    </w:rPr>
  </w:style>
  <w:style w:type="paragraph" w:customStyle="1" w:styleId="xl142">
    <w:name w:val="xl142"/>
    <w:basedOn w:val="a"/>
    <w:pPr>
      <w:widowControl/>
      <w:pBdr>
        <w:top w:val="single" w:sz="4" w:space="0" w:color="000000"/>
        <w:left w:val="single" w:sz="4" w:space="0" w:color="000000"/>
      </w:pBdr>
      <w:spacing w:before="100" w:beforeAutospacing="1" w:after="100" w:afterAutospacing="1"/>
      <w:jc w:val="left"/>
    </w:pPr>
    <w:rPr>
      <w:rFonts w:ascii="宋体" w:hAnsi="宋体"/>
      <w:kern w:val="0"/>
      <w:sz w:val="20"/>
      <w:szCs w:val="20"/>
    </w:rPr>
  </w:style>
  <w:style w:type="paragraph" w:customStyle="1" w:styleId="xl143">
    <w:name w:val="xl14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44">
    <w:name w:val="xl144"/>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45">
    <w:name w:val="xl14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46">
    <w:name w:val="xl14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47">
    <w:name w:val="xl147"/>
    <w:basedOn w:val="a"/>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0"/>
      <w:szCs w:val="20"/>
    </w:rPr>
  </w:style>
  <w:style w:type="paragraph" w:customStyle="1" w:styleId="xl148">
    <w:name w:val="xl1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49">
    <w:name w:val="xl14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50">
    <w:name w:val="xl150"/>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szCs w:val="20"/>
    </w:rPr>
  </w:style>
  <w:style w:type="paragraph" w:customStyle="1" w:styleId="xl151">
    <w:name w:val="xl15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52">
    <w:name w:val="xl1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153">
    <w:name w:val="xl15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54">
    <w:name w:val="xl15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55">
    <w:name w:val="xl155"/>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56">
    <w:name w:val="xl156"/>
    <w:basedOn w:val="a"/>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0"/>
      <w:szCs w:val="20"/>
    </w:rPr>
  </w:style>
  <w:style w:type="paragraph" w:customStyle="1" w:styleId="xl157">
    <w:name w:val="xl15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58">
    <w:name w:val="xl158"/>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59">
    <w:name w:val="xl15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160">
    <w:name w:val="xl160"/>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61">
    <w:name w:val="xl16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62">
    <w:name w:val="xl16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szCs w:val="24"/>
    </w:rPr>
  </w:style>
  <w:style w:type="paragraph" w:customStyle="1" w:styleId="xl163">
    <w:name w:val="xl16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64">
    <w:name w:val="xl164"/>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65">
    <w:name w:val="xl165"/>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66">
    <w:name w:val="xl166"/>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67">
    <w:name w:val="xl16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68">
    <w:name w:val="xl168"/>
    <w:basedOn w:val="a"/>
    <w:pPr>
      <w:widowControl/>
      <w:pBdr>
        <w:top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69">
    <w:name w:val="xl169"/>
    <w:basedOn w:val="a"/>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70">
    <w:name w:val="xl17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71">
    <w:name w:val="xl171"/>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72">
    <w:name w:val="xl172"/>
    <w:basedOn w:val="a"/>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0"/>
      <w:szCs w:val="20"/>
    </w:rPr>
  </w:style>
  <w:style w:type="paragraph" w:customStyle="1" w:styleId="xl173">
    <w:name w:val="xl173"/>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szCs w:val="20"/>
    </w:rPr>
  </w:style>
  <w:style w:type="paragraph" w:customStyle="1" w:styleId="xl174">
    <w:name w:val="xl174"/>
    <w:basedOn w:val="a"/>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color w:val="000000"/>
      <w:kern w:val="0"/>
      <w:sz w:val="24"/>
      <w:szCs w:val="24"/>
    </w:rPr>
  </w:style>
  <w:style w:type="paragraph" w:customStyle="1" w:styleId="xl175">
    <w:name w:val="xl175"/>
    <w:basedOn w:val="a"/>
    <w:pPr>
      <w:widowControl/>
      <w:spacing w:before="100" w:beforeAutospacing="1" w:after="100" w:afterAutospacing="1"/>
      <w:jc w:val="left"/>
    </w:pPr>
    <w:rPr>
      <w:rFonts w:ascii="宋体" w:hAnsi="宋体"/>
      <w:kern w:val="0"/>
      <w:sz w:val="20"/>
      <w:szCs w:val="20"/>
    </w:rPr>
  </w:style>
  <w:style w:type="paragraph" w:customStyle="1" w:styleId="xl176">
    <w:name w:val="xl176"/>
    <w:basedOn w:val="a"/>
    <w:pPr>
      <w:widowControl/>
      <w:pBdr>
        <w:top w:val="single" w:sz="4" w:space="0" w:color="auto"/>
        <w:left w:val="single" w:sz="4" w:space="0" w:color="auto"/>
      </w:pBdr>
      <w:spacing w:before="100" w:beforeAutospacing="1" w:after="100" w:afterAutospacing="1"/>
      <w:jc w:val="left"/>
    </w:pPr>
    <w:rPr>
      <w:rFonts w:ascii="宋体" w:hAnsi="宋体"/>
      <w:kern w:val="0"/>
      <w:sz w:val="20"/>
      <w:szCs w:val="20"/>
    </w:rPr>
  </w:style>
  <w:style w:type="paragraph" w:customStyle="1" w:styleId="xl177">
    <w:name w:val="xl17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178">
    <w:name w:val="xl178"/>
    <w:basedOn w:val="a"/>
    <w:pPr>
      <w:widowControl/>
      <w:pBdr>
        <w:top w:val="single" w:sz="4" w:space="0" w:color="auto"/>
        <w:left w:val="single" w:sz="4" w:space="0" w:color="auto"/>
      </w:pBdr>
      <w:spacing w:before="100" w:beforeAutospacing="1" w:after="100" w:afterAutospacing="1"/>
      <w:jc w:val="left"/>
    </w:pPr>
    <w:rPr>
      <w:rFonts w:ascii="宋体" w:hAnsi="宋体"/>
      <w:kern w:val="0"/>
      <w:sz w:val="20"/>
      <w:szCs w:val="20"/>
    </w:rPr>
  </w:style>
  <w:style w:type="paragraph" w:customStyle="1" w:styleId="xl179">
    <w:name w:val="xl179"/>
    <w:basedOn w:val="a"/>
    <w:pPr>
      <w:widowControl/>
      <w:pBdr>
        <w:left w:val="single" w:sz="4" w:space="0" w:color="000000"/>
        <w:bottom w:val="single" w:sz="4" w:space="0" w:color="000000"/>
      </w:pBdr>
      <w:spacing w:before="100" w:beforeAutospacing="1" w:after="100" w:afterAutospacing="1"/>
      <w:jc w:val="left"/>
    </w:pPr>
    <w:rPr>
      <w:rFonts w:ascii="宋体" w:hAnsi="宋体"/>
      <w:kern w:val="0"/>
      <w:sz w:val="20"/>
      <w:szCs w:val="20"/>
    </w:rPr>
  </w:style>
  <w:style w:type="paragraph" w:customStyle="1" w:styleId="xl180">
    <w:name w:val="xl180"/>
    <w:basedOn w:val="a"/>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0"/>
      <w:szCs w:val="20"/>
    </w:rPr>
  </w:style>
  <w:style w:type="paragraph" w:customStyle="1" w:styleId="xl181">
    <w:name w:val="xl181"/>
    <w:basedOn w:val="a"/>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0"/>
      <w:szCs w:val="20"/>
    </w:rPr>
  </w:style>
  <w:style w:type="paragraph" w:customStyle="1" w:styleId="xl182">
    <w:name w:val="xl182"/>
    <w:basedOn w:val="a"/>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0"/>
      <w:szCs w:val="20"/>
    </w:rPr>
  </w:style>
  <w:style w:type="paragraph" w:customStyle="1" w:styleId="xl183">
    <w:name w:val="xl183"/>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184">
    <w:name w:val="xl18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85">
    <w:name w:val="xl185"/>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186">
    <w:name w:val="xl186"/>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styleId="TOC">
    <w:name w:val="TOC Heading"/>
    <w:basedOn w:val="1"/>
    <w:next w:val="a"/>
    <w:uiPriority w:val="39"/>
    <w:qFormat/>
    <w:pPr>
      <w:widowControl/>
      <w:spacing w:before="480" w:after="0" w:line="276" w:lineRule="auto"/>
      <w:jc w:val="left"/>
      <w:outlineLvl w:val="9"/>
    </w:pPr>
    <w:rPr>
      <w:rFonts w:ascii="Cambria" w:hAnsi="Cambria" w:cs="Times New Roman"/>
      <w:color w:val="365F91"/>
      <w:kern w:val="0"/>
      <w:sz w:val="28"/>
      <w:szCs w:val="28"/>
    </w:rPr>
  </w:style>
  <w:style w:type="character" w:customStyle="1" w:styleId="ad">
    <w:name w:val="未处理的提及"/>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1872</Words>
  <Characters>10675</Characters>
  <Application>Microsoft Office Word</Application>
  <DocSecurity>0</DocSecurity>
  <Lines>88</Lines>
  <Paragraphs>25</Paragraphs>
  <ScaleCrop>false</ScaleCrop>
  <Company/>
  <LinksUpToDate>false</LinksUpToDate>
  <CharactersWithSpaces>12522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cp:lastModifiedBy>pc</cp:lastModifiedBy>
  <cp:revision>4</cp:revision>
  <cp:lastPrinted>2024-01-17T13:00:00Z</cp:lastPrinted>
  <dcterms:created xsi:type="dcterms:W3CDTF">2024-02-01T09:33:00Z</dcterms:created>
  <dcterms:modified xsi:type="dcterms:W3CDTF">2024-02-01T09:37:00Z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1BAD62EEAE854315AC280BCFD4522D8D_13</vt:lpwstr>
  </property>
  <property fmtid="{D5CDD505-2E9C-101B-9397-08002B2CF9AE}" pid="4" name="KSOSaveFontToCloudKey">
    <vt:lpwstr>0_embed</vt:lpwstr>
  </property>
</Properties>
</file>