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宋体" w:eastAsia="宋体" w:cs="宋体"/>
          <w:b/>
          <w:bCs/>
          <w:color w:val="auto"/>
          <w:kern w:val="2"/>
          <w:sz w:val="24"/>
          <w:szCs w:val="21"/>
          <w:lang w:val="en-US" w:eastAsia="zh-CN" w:bidi="ar-SA"/>
        </w:rPr>
      </w:pPr>
      <w:r>
        <w:rPr>
          <w:rFonts w:hint="eastAsia" w:ascii="Times New Roman" w:hAnsi="宋体" w:eastAsia="宋体" w:cs="宋体"/>
          <w:b/>
          <w:bCs/>
          <w:color w:val="auto"/>
          <w:kern w:val="2"/>
          <w:sz w:val="24"/>
          <w:szCs w:val="21"/>
          <w:lang w:val="en-US" w:eastAsia="zh-CN" w:bidi="ar-SA"/>
        </w:rPr>
        <w:t>附件3：展位信息</w:t>
      </w: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第</w:t>
      </w:r>
      <w:r>
        <w:rPr>
          <w:rFonts w:hint="eastAsia" w:ascii="宋体" w:hAnsi="宋体" w:eastAsia="宋体" w:cs="宋体"/>
          <w:b/>
          <w:color w:val="auto"/>
          <w:sz w:val="44"/>
          <w:szCs w:val="44"/>
          <w:lang w:val="en-US" w:eastAsia="zh-CN"/>
        </w:rPr>
        <w:t>30</w:t>
      </w:r>
      <w:r>
        <w:rPr>
          <w:rFonts w:hint="eastAsia" w:ascii="宋体" w:hAnsi="宋体" w:eastAsia="宋体" w:cs="宋体"/>
          <w:b/>
          <w:color w:val="auto"/>
          <w:sz w:val="44"/>
          <w:szCs w:val="44"/>
        </w:rPr>
        <w:t>届</w:t>
      </w:r>
      <w:bookmarkStart w:id="8" w:name="_GoBack"/>
      <w:r>
        <w:rPr>
          <w:rFonts w:hint="eastAsia" w:ascii="宋体" w:hAnsi="宋体" w:eastAsia="宋体" w:cs="宋体"/>
          <w:b/>
          <w:color w:val="auto"/>
          <w:sz w:val="44"/>
          <w:szCs w:val="44"/>
        </w:rPr>
        <w:t>乌兹别克斯坦国际医疗医药展</w:t>
      </w:r>
      <w:bookmarkEnd w:id="8"/>
    </w:p>
    <w:p>
      <w:pPr>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邀    请    函</w:t>
      </w:r>
    </w:p>
    <w:p>
      <w:pPr>
        <w:ind w:firstLine="3534" w:firstLineChars="1100"/>
        <w:jc w:val="left"/>
        <w:textAlignment w:val="auto"/>
        <w:rPr>
          <w:rFonts w:hint="eastAsia" w:ascii="宋体" w:hAnsi="宋体" w:eastAsia="宋体" w:cs="宋体"/>
          <w:b/>
          <w:color w:val="auto"/>
          <w:sz w:val="32"/>
          <w:szCs w:val="32"/>
        </w:rPr>
      </w:pPr>
    </w:p>
    <w:p>
      <w:pPr>
        <w:spacing w:line="400" w:lineRule="exact"/>
        <w:textAlignment w:val="auto"/>
        <w:rPr>
          <w:rFonts w:hint="eastAsia" w:ascii="宋体" w:hAnsi="宋体" w:eastAsia="宋体" w:cs="宋体"/>
          <w:color w:val="auto"/>
          <w:sz w:val="28"/>
          <w:szCs w:val="28"/>
        </w:rPr>
      </w:pPr>
      <w:r>
        <w:rPr>
          <w:rFonts w:hint="eastAsia" w:ascii="宋体" w:hAnsi="宋体" w:eastAsia="宋体" w:cs="宋体"/>
          <w:b/>
          <w:color w:val="auto"/>
          <w:kern w:val="2"/>
          <w:sz w:val="28"/>
          <w:szCs w:val="28"/>
        </w:rPr>
        <w:t>☆</w:t>
      </w:r>
      <w:r>
        <w:rPr>
          <w:rFonts w:hint="eastAsia" w:ascii="宋体" w:hAnsi="宋体" w:eastAsia="宋体" w:cs="宋体"/>
          <w:b/>
          <w:color w:val="auto"/>
          <w:sz w:val="28"/>
          <w:szCs w:val="28"/>
        </w:rPr>
        <w:t>展会时间：</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年4月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日</w:t>
      </w:r>
    </w:p>
    <w:p>
      <w:pPr>
        <w:spacing w:line="400" w:lineRule="exact"/>
        <w:textAlignment w:val="auto"/>
        <w:rPr>
          <w:rFonts w:hint="eastAsia" w:ascii="宋体" w:hAnsi="宋体" w:eastAsia="宋体" w:cs="宋体"/>
          <w:color w:val="auto"/>
          <w:sz w:val="28"/>
        </w:rPr>
      </w:pPr>
      <w:r>
        <w:rPr>
          <w:rFonts w:hint="eastAsia" w:ascii="宋体" w:hAnsi="宋体" w:eastAsia="宋体" w:cs="宋体"/>
          <w:b/>
          <w:color w:val="auto"/>
          <w:kern w:val="2"/>
          <w:sz w:val="28"/>
          <w:szCs w:val="28"/>
        </w:rPr>
        <w:t>☆</w:t>
      </w:r>
      <w:r>
        <w:rPr>
          <w:rFonts w:hint="eastAsia" w:ascii="宋体" w:hAnsi="宋体" w:eastAsia="宋体" w:cs="宋体"/>
          <w:b/>
          <w:color w:val="auto"/>
          <w:sz w:val="28"/>
          <w:szCs w:val="28"/>
        </w:rPr>
        <w:t>展会地点：</w:t>
      </w:r>
      <w:r>
        <w:rPr>
          <w:rFonts w:hint="eastAsia" w:ascii="宋体" w:hAnsi="宋体" w:eastAsia="宋体" w:cs="宋体"/>
          <w:color w:val="auto"/>
          <w:sz w:val="28"/>
          <w:szCs w:val="28"/>
        </w:rPr>
        <w:t>乌兹别克斯坦 塔什干市</w:t>
      </w:r>
    </w:p>
    <w:p>
      <w:pPr>
        <w:spacing w:line="400" w:lineRule="exact"/>
        <w:textAlignment w:val="auto"/>
        <w:rPr>
          <w:rFonts w:hint="eastAsia" w:ascii="宋体" w:hAnsi="宋体" w:eastAsia="宋体" w:cs="宋体"/>
          <w:color w:val="auto"/>
          <w:sz w:val="28"/>
          <w:szCs w:val="28"/>
        </w:rPr>
      </w:pPr>
      <w:r>
        <w:rPr>
          <w:rFonts w:hint="eastAsia" w:ascii="宋体" w:hAnsi="宋体" w:eastAsia="宋体" w:cs="宋体"/>
          <w:b/>
          <w:color w:val="auto"/>
          <w:kern w:val="2"/>
          <w:sz w:val="28"/>
          <w:szCs w:val="28"/>
        </w:rPr>
        <w:t>☆</w:t>
      </w:r>
      <w:r>
        <w:rPr>
          <w:rFonts w:hint="eastAsia" w:ascii="宋体" w:hAnsi="宋体" w:eastAsia="宋体" w:cs="宋体"/>
          <w:b/>
          <w:color w:val="auto"/>
          <w:sz w:val="28"/>
          <w:szCs w:val="28"/>
        </w:rPr>
        <w:t>展会周期：</w:t>
      </w:r>
      <w:r>
        <w:rPr>
          <w:rFonts w:hint="eastAsia" w:ascii="宋体" w:hAnsi="宋体" w:eastAsia="宋体" w:cs="宋体"/>
          <w:color w:val="auto"/>
          <w:sz w:val="28"/>
          <w:szCs w:val="28"/>
        </w:rPr>
        <w:t>每年一届</w:t>
      </w:r>
    </w:p>
    <w:p>
      <w:pPr>
        <w:spacing w:line="400" w:lineRule="exact"/>
        <w:textAlignment w:val="auto"/>
        <w:rPr>
          <w:rFonts w:hint="eastAsia" w:ascii="宋体" w:hAnsi="宋体" w:eastAsia="宋体" w:cs="宋体"/>
          <w:color w:val="auto"/>
          <w:sz w:val="28"/>
          <w:szCs w:val="28"/>
        </w:rPr>
      </w:pPr>
    </w:p>
    <w:p>
      <w:pPr>
        <w:spacing w:line="460" w:lineRule="exact"/>
        <w:textAlignment w:val="auto"/>
        <w:rPr>
          <w:rFonts w:hint="eastAsia" w:ascii="宋体" w:hAnsi="宋体" w:eastAsia="宋体" w:cs="宋体"/>
          <w:b/>
          <w:color w:val="auto"/>
          <w:sz w:val="28"/>
          <w:szCs w:val="28"/>
        </w:rPr>
      </w:pPr>
      <w:bookmarkStart w:id="0" w:name="OLE_LINK3"/>
      <w:bookmarkStart w:id="1" w:name="OLE_LINK4"/>
      <w:r>
        <w:rPr>
          <w:rFonts w:hint="eastAsia" w:ascii="宋体" w:hAnsi="宋体" w:eastAsia="宋体" w:cs="宋体"/>
          <w:b/>
          <w:color w:val="auto"/>
          <w:kern w:val="2"/>
          <w:sz w:val="28"/>
          <w:szCs w:val="28"/>
        </w:rPr>
        <w:t>☆</w:t>
      </w:r>
      <w:bookmarkEnd w:id="0"/>
      <w:bookmarkEnd w:id="1"/>
      <w:r>
        <w:rPr>
          <w:rFonts w:hint="eastAsia" w:ascii="宋体" w:hAnsi="宋体" w:eastAsia="宋体" w:cs="宋体"/>
          <w:b/>
          <w:color w:val="auto"/>
          <w:sz w:val="28"/>
          <w:szCs w:val="28"/>
        </w:rPr>
        <w:t>展会简介：</w:t>
      </w:r>
    </w:p>
    <w:p>
      <w:pPr>
        <w:keepNext w:val="0"/>
        <w:keepLines w:val="0"/>
        <w:pageBreakBefore w:val="0"/>
        <w:kinsoku/>
        <w:wordWrap/>
        <w:overflowPunct/>
        <w:topLinePunct w:val="0"/>
        <w:autoSpaceDE/>
        <w:autoSpaceDN/>
        <w:bidi w:val="0"/>
        <w:adjustRightInd w:val="0"/>
        <w:snapToGrid/>
        <w:spacing w:line="340" w:lineRule="exact"/>
        <w:ind w:left="0" w:leftChars="0" w:firstLine="432" w:firstLineChars="18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乌兹别克斯坦国际医药展是中亚地区知名的专业医药展览会，它极大的促进了乌兹别克斯坦及中亚地区医疗、医药行业的发展，还使中亚成为最具有发展潜力的市场之一。该展与乌兹别克斯坦口腔展同期举办。自开展以来受到乌共和国公共卫生部、乌口腔协会、乌兹别克斯坦医药技术总局、塔什干市政府的大力支持。</w:t>
      </w:r>
    </w:p>
    <w:p>
      <w:pPr>
        <w:keepNext w:val="0"/>
        <w:keepLines w:val="0"/>
        <w:pageBreakBefore w:val="0"/>
        <w:kinsoku/>
        <w:wordWrap/>
        <w:overflowPunct/>
        <w:topLinePunct w:val="0"/>
        <w:autoSpaceDE/>
        <w:autoSpaceDN/>
        <w:bidi w:val="0"/>
        <w:adjustRightInd w:val="0"/>
        <w:snapToGrid/>
        <w:spacing w:line="340" w:lineRule="exact"/>
        <w:ind w:left="0" w:leftChars="0" w:firstLine="432" w:firstLineChars="18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本展会创办于</w:t>
      </w:r>
      <w:r>
        <w:rPr>
          <w:rFonts w:hint="eastAsia" w:ascii="宋体" w:hAnsi="宋体" w:eastAsia="宋体" w:cs="宋体"/>
          <w:color w:val="auto"/>
          <w:sz w:val="24"/>
          <w:szCs w:val="24"/>
        </w:rPr>
        <w:t>1995年，每年一届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总面积</w:t>
      </w:r>
      <w:r>
        <w:rPr>
          <w:rFonts w:hint="eastAsia" w:ascii="宋体" w:hAnsi="宋体" w:eastAsia="宋体" w:cs="宋体"/>
          <w:color w:val="auto"/>
          <w:sz w:val="24"/>
          <w:szCs w:val="24"/>
          <w:lang w:val="en-US" w:eastAsia="zh-CN"/>
        </w:rPr>
        <w:t>达</w:t>
      </w:r>
      <w:r>
        <w:rPr>
          <w:rFonts w:hint="eastAsia" w:ascii="宋体" w:hAnsi="宋体" w:eastAsia="宋体" w:cs="宋体"/>
          <w:color w:val="auto"/>
          <w:sz w:val="24"/>
          <w:szCs w:val="24"/>
        </w:rPr>
        <w:t>5500平方米</w:t>
      </w:r>
      <w:r>
        <w:rPr>
          <w:rFonts w:hint="eastAsia" w:ascii="宋体" w:hAnsi="宋体" w:eastAsia="宋体" w:cs="宋体"/>
          <w:color w:val="auto"/>
          <w:sz w:val="24"/>
          <w:szCs w:val="24"/>
          <w:lang w:val="en-US" w:eastAsia="zh-CN"/>
        </w:rPr>
        <w:t>专业观众</w:t>
      </w:r>
      <w:r>
        <w:rPr>
          <w:rFonts w:hint="eastAsia" w:ascii="宋体" w:hAnsi="宋体" w:eastAsia="宋体" w:cs="宋体"/>
          <w:color w:val="auto"/>
          <w:sz w:val="24"/>
          <w:szCs w:val="24"/>
          <w:lang w:eastAsia="zh-CN"/>
        </w:rPr>
        <w:t>10109</w:t>
      </w:r>
      <w:r>
        <w:rPr>
          <w:rFonts w:hint="eastAsia" w:ascii="宋体" w:hAnsi="宋体" w:eastAsia="宋体" w:cs="宋体"/>
          <w:color w:val="auto"/>
          <w:sz w:val="24"/>
          <w:szCs w:val="24"/>
          <w:lang w:val="en-US" w:eastAsia="zh-CN"/>
        </w:rPr>
        <w:t>人次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共有</w:t>
      </w:r>
      <w:r>
        <w:rPr>
          <w:rFonts w:hint="eastAsia" w:ascii="宋体" w:hAnsi="宋体" w:eastAsia="宋体" w:cs="宋体"/>
          <w:color w:val="auto"/>
          <w:sz w:val="24"/>
          <w:szCs w:val="24"/>
        </w:rPr>
        <w:t>来自全球</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个国家的200多家公司</w:t>
      </w:r>
      <w:r>
        <w:rPr>
          <w:rFonts w:hint="eastAsia" w:ascii="宋体" w:hAnsi="宋体" w:eastAsia="宋体" w:cs="宋体"/>
          <w:color w:val="auto"/>
          <w:sz w:val="24"/>
          <w:szCs w:val="24"/>
          <w:lang w:val="en-US" w:eastAsia="zh-CN"/>
        </w:rPr>
        <w:t>参展，</w:t>
      </w:r>
      <w:r>
        <w:rPr>
          <w:rFonts w:hint="eastAsia" w:ascii="宋体" w:hAnsi="宋体" w:eastAsia="宋体" w:cs="宋体"/>
          <w:color w:val="auto"/>
          <w:sz w:val="24"/>
          <w:szCs w:val="24"/>
        </w:rPr>
        <w:t>其中中国展商</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6家。</w:t>
      </w:r>
    </w:p>
    <w:p>
      <w:pPr>
        <w:keepNext w:val="0"/>
        <w:keepLines w:val="0"/>
        <w:pageBreakBefore w:val="0"/>
        <w:kinsoku/>
        <w:wordWrap/>
        <w:overflowPunct/>
        <w:topLinePunct w:val="0"/>
        <w:autoSpaceDE/>
        <w:autoSpaceDN/>
        <w:bidi w:val="0"/>
        <w:adjustRightInd w:val="0"/>
        <w:snapToGrid/>
        <w:spacing w:line="340" w:lineRule="exact"/>
        <w:ind w:left="0" w:leftChars="0"/>
        <w:jc w:val="both"/>
        <w:textAlignment w:val="auto"/>
        <w:outlineLvl w:val="9"/>
        <w:rPr>
          <w:rFonts w:hint="eastAsia" w:ascii="宋体" w:hAnsi="宋体" w:eastAsia="宋体" w:cs="宋体"/>
          <w:b/>
          <w:color w:val="auto"/>
          <w:kern w:val="2"/>
          <w:sz w:val="28"/>
          <w:szCs w:val="28"/>
        </w:rPr>
      </w:pPr>
    </w:p>
    <w:p>
      <w:pPr>
        <w:keepNext w:val="0"/>
        <w:keepLines w:val="0"/>
        <w:pageBreakBefore w:val="0"/>
        <w:kinsoku/>
        <w:wordWrap/>
        <w:overflowPunct/>
        <w:topLinePunct w:val="0"/>
        <w:autoSpaceDE/>
        <w:autoSpaceDN/>
        <w:bidi w:val="0"/>
        <w:adjustRightInd w:val="0"/>
        <w:snapToGrid/>
        <w:spacing w:line="340" w:lineRule="exact"/>
        <w:ind w:left="0" w:leftChars="0"/>
        <w:jc w:val="both"/>
        <w:textAlignment w:val="auto"/>
        <w:outlineLvl w:val="9"/>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☆市场背景：</w:t>
      </w:r>
    </w:p>
    <w:p>
      <w:pPr>
        <w:keepNext w:val="0"/>
        <w:keepLines w:val="0"/>
        <w:pageBreakBefore w:val="0"/>
        <w:kinsoku/>
        <w:wordWrap/>
        <w:overflowPunct/>
        <w:topLinePunct w:val="0"/>
        <w:autoSpaceDE/>
        <w:autoSpaceDN/>
        <w:bidi w:val="0"/>
        <w:adjustRightInd w:val="0"/>
        <w:snapToGrid/>
        <w:spacing w:line="340" w:lineRule="exact"/>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乌兹别克斯坦共和国位于中亚中部，有中亚珍珠的美誉。乌兹别克斯坦与哈萨克斯坦、土库曼斯坦、塔吉克斯坦、吉尔吉斯斯坦共和国毗邻，乌兹别克斯坦是著名的“丝绸之路”古国，历史上与中国的“丝绸之路”有着悠久的联系。</w:t>
      </w:r>
    </w:p>
    <w:p>
      <w:pPr>
        <w:pStyle w:val="2"/>
        <w:keepNext w:val="0"/>
        <w:keepLines w:val="0"/>
        <w:pageBreakBefore w:val="0"/>
        <w:widowControl/>
        <w:kinsoku/>
        <w:wordWrap/>
        <w:overflowPunct/>
        <w:topLinePunct w:val="0"/>
        <w:autoSpaceDE/>
        <w:autoSpaceDN/>
        <w:bidi w:val="0"/>
        <w:adjustRightInd w:val="0"/>
        <w:snapToGrid/>
        <w:spacing w:after="0" w:line="340" w:lineRule="exact"/>
        <w:ind w:left="0" w:leftChars="0" w:right="-1"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乌兹别克斯坦总人口28,500,000，总面积为447,400平方公里。有8322个医疗与预防疾病组织其中包括1018家医院，3825医疗门诊和农村医疗组织。</w:t>
      </w:r>
    </w:p>
    <w:p>
      <w:pPr>
        <w:pStyle w:val="2"/>
        <w:keepNext w:val="0"/>
        <w:keepLines w:val="0"/>
        <w:pageBreakBefore w:val="0"/>
        <w:widowControl/>
        <w:kinsoku/>
        <w:wordWrap/>
        <w:overflowPunct/>
        <w:topLinePunct w:val="0"/>
        <w:autoSpaceDE/>
        <w:autoSpaceDN/>
        <w:bidi w:val="0"/>
        <w:adjustRightInd w:val="0"/>
        <w:snapToGrid/>
        <w:spacing w:after="0" w:line="340" w:lineRule="exact"/>
        <w:ind w:left="0" w:leftChars="0" w:right="-1"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今超过4500种制剂已经在乌兹别克斯坦注册。其中超过2000种药品是由国外医药公司生产，大约1300种由独联体国家生产，有250种物质和诊断方法、300多种药品在乌兹别克斯坦本国注册和生产。目前超过80家的海外医药公司的代表处在乌兹别克斯坦运营其中最大的医药产品公司主要来自俄罗斯、乌克兰、德国、波兰、法国和美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乌兹别克斯坦只有92家医疗设备及医药的生产商。</w:t>
      </w:r>
    </w:p>
    <w:p>
      <w:pPr>
        <w:pStyle w:val="2"/>
        <w:keepNext w:val="0"/>
        <w:keepLines w:val="0"/>
        <w:pageBreakBefore w:val="0"/>
        <w:widowControl/>
        <w:kinsoku/>
        <w:wordWrap/>
        <w:overflowPunct/>
        <w:topLinePunct w:val="0"/>
        <w:autoSpaceDE/>
        <w:autoSpaceDN/>
        <w:bidi w:val="0"/>
        <w:adjustRightInd w:val="0"/>
        <w:snapToGrid/>
        <w:spacing w:after="0" w:line="340" w:lineRule="exact"/>
        <w:ind w:left="0" w:leftChars="0" w:right="-1" w:firstLine="480" w:firstLineChars="200"/>
        <w:jc w:val="both"/>
        <w:outlineLvl w:val="9"/>
        <w:rPr>
          <w:rFonts w:hint="eastAsia" w:ascii="宋体" w:hAnsi="宋体" w:eastAsia="宋体" w:cs="宋体"/>
          <w:color w:val="auto"/>
          <w:sz w:val="24"/>
          <w:szCs w:val="24"/>
        </w:rPr>
      </w:pPr>
      <w:r>
        <w:rPr>
          <w:rFonts w:hint="eastAsia" w:ascii="宋体" w:hAnsi="宋体" w:eastAsia="宋体" w:cs="宋体"/>
          <w:color w:val="auto"/>
          <w:sz w:val="24"/>
          <w:szCs w:val="24"/>
        </w:rPr>
        <w:t>乌兹别克斯坦国的药品市场1991年乌国独立前，只有一家制药厂，所需药品大多数从其他国家进口。独立后，已发展到18家制药厂，其中6家为本国药厂，另外12家为与英、德、印度、捷克、瑞士和土耳其等国建立的合资制药厂。生产常用药品约300种，但远不能满足国内市场需求。乌国内需求的常用药约800多种，需求空缺需全部进口，此外，药品生产原料的60%也依赖进口。</w:t>
      </w:r>
      <w:bookmarkStart w:id="2" w:name="OLE_LINK46"/>
    </w:p>
    <w:p>
      <w:pPr>
        <w:pStyle w:val="2"/>
        <w:keepNext w:val="0"/>
        <w:keepLines w:val="0"/>
        <w:pageBreakBefore w:val="0"/>
        <w:widowControl/>
        <w:kinsoku/>
        <w:wordWrap/>
        <w:overflowPunct/>
        <w:topLinePunct w:val="0"/>
        <w:autoSpaceDE/>
        <w:autoSpaceDN/>
        <w:bidi w:val="0"/>
        <w:adjustRightInd w:val="0"/>
        <w:snapToGrid/>
        <w:spacing w:after="0" w:line="340" w:lineRule="exact"/>
        <w:ind w:right="-1"/>
        <w:jc w:val="both"/>
        <w:outlineLvl w:val="9"/>
        <w:rPr>
          <w:rFonts w:hint="eastAsia" w:ascii="宋体" w:hAnsi="宋体" w:eastAsia="宋体" w:cs="宋体"/>
          <w:b/>
          <w:color w:val="auto"/>
          <w:sz w:val="28"/>
          <w:szCs w:val="28"/>
        </w:rPr>
      </w:pPr>
      <w:r>
        <w:rPr>
          <w:rFonts w:hint="eastAsia" w:ascii="宋体" w:hAnsi="宋体" w:eastAsia="宋体" w:cs="宋体"/>
          <w:b/>
          <w:color w:val="auto"/>
          <w:kern w:val="2"/>
          <w:sz w:val="28"/>
          <w:szCs w:val="28"/>
        </w:rPr>
        <w:t>☆</w:t>
      </w:r>
      <w:r>
        <w:rPr>
          <w:rFonts w:hint="eastAsia" w:ascii="宋体" w:hAnsi="宋体" w:eastAsia="宋体" w:cs="宋体"/>
          <w:b/>
          <w:color w:val="auto"/>
          <w:sz w:val="28"/>
          <w:szCs w:val="28"/>
        </w:rPr>
        <w:t>展品分类：</w:t>
      </w:r>
    </w:p>
    <w:tbl>
      <w:tblPr>
        <w:tblStyle w:val="3"/>
        <w:tblW w:w="9542" w:type="dxa"/>
        <w:tblInd w:w="42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771"/>
        <w:gridCol w:w="477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医药品</w:t>
            </w:r>
          </w:p>
        </w:tc>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药草制剂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补充矿物质及维他命等营养类保健品</w:t>
            </w:r>
          </w:p>
        </w:tc>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食疗类营养产品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顺势疗法制剂</w:t>
            </w:r>
          </w:p>
        </w:tc>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皮肤病制剂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母婴医疗护理产品及婴儿食品</w:t>
            </w:r>
          </w:p>
        </w:tc>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个人卫生产品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失禁产品 </w:t>
            </w:r>
          </w:p>
        </w:tc>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医疗消费品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1"/>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制药及制药设备</w:t>
            </w:r>
          </w:p>
        </w:tc>
        <w:tc>
          <w:tcPr>
            <w:tcW w:w="4771" w:type="dxa"/>
            <w:noWrap w:val="0"/>
            <w:vAlign w:val="top"/>
          </w:tcPr>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健身设备及用品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实验室设备及仪器</w:t>
            </w:r>
          </w:p>
        </w:tc>
        <w:tc>
          <w:tcPr>
            <w:tcW w:w="4771" w:type="dxa"/>
            <w:noWrap w:val="0"/>
            <w:vAlign w:val="top"/>
          </w:tcPr>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医疗设备、医疗电子设备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71" w:type="dxa"/>
            <w:noWrap w:val="0"/>
            <w:vAlign w:val="top"/>
          </w:tcPr>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外科手术器具</w:t>
            </w:r>
          </w:p>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急救应急设备</w:t>
            </w:r>
          </w:p>
        </w:tc>
        <w:tc>
          <w:tcPr>
            <w:tcW w:w="4771" w:type="dxa"/>
            <w:noWrap w:val="0"/>
            <w:vAlign w:val="top"/>
          </w:tcPr>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眼科设备及防护产品</w:t>
            </w:r>
          </w:p>
          <w:p>
            <w:pPr>
              <w:widowControl/>
              <w:numPr>
                <w:ilvl w:val="0"/>
                <w:numId w:val="2"/>
              </w:numPr>
              <w:tabs>
                <w:tab w:val="clear" w:pos="720"/>
              </w:tabs>
              <w:adjustRightInd/>
              <w:spacing w:line="240" w:lineRule="auto"/>
              <w:ind w:left="426" w:hanging="426"/>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医院&amp;口腔&amp;医务设备</w:t>
            </w:r>
          </w:p>
          <w:p>
            <w:pPr>
              <w:widowControl/>
              <w:numPr>
                <w:ilvl w:val="0"/>
                <w:numId w:val="0"/>
              </w:numPr>
              <w:adjustRightInd/>
              <w:spacing w:line="240" w:lineRule="auto"/>
              <w:ind w:leftChars="0"/>
              <w:jc w:val="left"/>
              <w:textAlignment w:val="auto"/>
              <w:rPr>
                <w:rFonts w:hint="eastAsia" w:ascii="宋体" w:hAnsi="宋体" w:eastAsia="宋体" w:cs="宋体"/>
                <w:color w:val="auto"/>
                <w:sz w:val="24"/>
                <w:szCs w:val="24"/>
              </w:rPr>
            </w:pPr>
          </w:p>
        </w:tc>
      </w:tr>
    </w:tbl>
    <w:p>
      <w:pPr>
        <w:spacing w:line="240" w:lineRule="auto"/>
        <w:rPr>
          <w:rFonts w:hint="eastAsia" w:ascii="宋体" w:hAnsi="宋体" w:eastAsia="宋体" w:cs="宋体"/>
          <w:b/>
          <w:color w:val="auto"/>
          <w:kern w:val="2"/>
          <w:sz w:val="28"/>
          <w:szCs w:val="28"/>
        </w:rPr>
      </w:pPr>
    </w:p>
    <w:p>
      <w:pPr>
        <w:spacing w:line="460" w:lineRule="exact"/>
        <w:rPr>
          <w:rFonts w:hint="eastAsia" w:ascii="宋体" w:hAnsi="宋体" w:eastAsia="宋体" w:cs="宋体"/>
          <w:b/>
          <w:color w:val="auto"/>
          <w:kern w:val="2"/>
          <w:sz w:val="28"/>
          <w:szCs w:val="28"/>
        </w:rPr>
      </w:pPr>
    </w:p>
    <w:p>
      <w:pPr>
        <w:spacing w:line="460" w:lineRule="exact"/>
        <w:rPr>
          <w:rFonts w:hint="eastAsia" w:ascii="宋体" w:hAnsi="宋体" w:eastAsia="宋体" w:cs="宋体"/>
          <w:b/>
          <w:color w:val="auto"/>
          <w:kern w:val="2"/>
          <w:sz w:val="28"/>
          <w:szCs w:val="28"/>
          <w:lang w:val="en-US" w:eastAsia="zh-CN"/>
        </w:rPr>
      </w:pPr>
      <w:r>
        <w:rPr>
          <w:rFonts w:hint="eastAsia" w:ascii="宋体" w:hAnsi="宋体" w:eastAsia="宋体" w:cs="宋体"/>
          <w:b/>
          <w:color w:val="auto"/>
          <w:kern w:val="2"/>
          <w:sz w:val="28"/>
          <w:szCs w:val="28"/>
        </w:rPr>
        <w:t xml:space="preserve">☆ </w:t>
      </w:r>
      <w:bookmarkEnd w:id="2"/>
      <w:r>
        <w:rPr>
          <w:rFonts w:hint="eastAsia" w:ascii="宋体" w:hAnsi="宋体" w:eastAsia="宋体" w:cs="宋体"/>
          <w:b/>
          <w:color w:val="auto"/>
          <w:kern w:val="2"/>
          <w:sz w:val="28"/>
          <w:szCs w:val="28"/>
        </w:rPr>
        <w:t>参展费用：</w:t>
      </w:r>
      <w:r>
        <w:rPr>
          <w:rFonts w:hint="eastAsia" w:ascii="宋体" w:hAnsi="宋体" w:eastAsia="宋体" w:cs="宋体"/>
          <w:b/>
          <w:color w:val="auto"/>
          <w:kern w:val="2"/>
          <w:sz w:val="28"/>
          <w:szCs w:val="28"/>
          <w:lang w:eastAsia="zh-CN"/>
        </w:rPr>
        <w:t>（</w:t>
      </w:r>
      <w:r>
        <w:rPr>
          <w:rFonts w:hint="eastAsia" w:ascii="宋体" w:hAnsi="宋体" w:eastAsia="宋体" w:cs="宋体"/>
          <w:b/>
          <w:color w:val="auto"/>
          <w:kern w:val="2"/>
          <w:sz w:val="28"/>
          <w:szCs w:val="28"/>
          <w:lang w:val="en-US" w:eastAsia="zh-CN"/>
        </w:rPr>
        <w:t>人民币）</w:t>
      </w:r>
    </w:p>
    <w:tbl>
      <w:tblPr>
        <w:tblStyle w:val="3"/>
        <w:tblW w:w="940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3119"/>
        <w:gridCol w:w="50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trPr>
        <w:tc>
          <w:tcPr>
            <w:tcW w:w="1242"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项  目</w:t>
            </w:r>
          </w:p>
        </w:tc>
        <w:tc>
          <w:tcPr>
            <w:tcW w:w="3119"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费    用</w:t>
            </w:r>
          </w:p>
        </w:tc>
        <w:tc>
          <w:tcPr>
            <w:tcW w:w="5047"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1242" w:type="dxa"/>
            <w:vMerge w:val="restart"/>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展位费</w:t>
            </w:r>
          </w:p>
        </w:tc>
        <w:tc>
          <w:tcPr>
            <w:tcW w:w="3119"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标摊：</w:t>
            </w:r>
            <w:bookmarkStart w:id="3" w:name="OLE_LINK20"/>
            <w:bookmarkStart w:id="4" w:name="OLE_LINK21"/>
            <w:bookmarkStart w:id="5" w:name="OLE_LINK19"/>
            <w:r>
              <w:rPr>
                <w:rFonts w:hint="eastAsia" w:ascii="宋体" w:hAnsi="宋体" w:eastAsia="宋体" w:cs="宋体"/>
                <w:color w:val="auto"/>
                <w:kern w:val="2"/>
                <w:sz w:val="24"/>
                <w:szCs w:val="24"/>
                <w:lang w:val="en-US" w:eastAsia="zh-CN"/>
              </w:rPr>
              <w:t>3850</w:t>
            </w:r>
            <w:r>
              <w:rPr>
                <w:rFonts w:hint="eastAsia" w:ascii="宋体" w:hAnsi="宋体" w:eastAsia="宋体" w:cs="宋体"/>
                <w:color w:val="auto"/>
                <w:kern w:val="2"/>
                <w:sz w:val="24"/>
                <w:szCs w:val="24"/>
              </w:rPr>
              <w:t>元/平米</w:t>
            </w:r>
            <w:bookmarkEnd w:id="3"/>
            <w:bookmarkEnd w:id="4"/>
            <w:bookmarkEnd w:id="5"/>
          </w:p>
        </w:tc>
        <w:tc>
          <w:tcPr>
            <w:tcW w:w="5047"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包括围板，地毯，楣板，一桌，椅</w:t>
            </w:r>
            <w:r>
              <w:rPr>
                <w:rFonts w:hint="eastAsia" w:ascii="宋体" w:hAnsi="宋体" w:eastAsia="宋体" w:cs="宋体"/>
                <w:color w:val="auto"/>
                <w:kern w:val="2"/>
                <w:sz w:val="24"/>
                <w:szCs w:val="24"/>
                <w:lang w:val="en-US" w:eastAsia="zh-CN"/>
              </w:rPr>
              <w:t>子</w:t>
            </w:r>
            <w:r>
              <w:rPr>
                <w:rFonts w:hint="eastAsia" w:ascii="宋体" w:hAnsi="宋体" w:eastAsia="宋体" w:cs="宋体"/>
                <w:color w:val="auto"/>
                <w:kern w:val="2"/>
                <w:sz w:val="24"/>
                <w:szCs w:val="24"/>
              </w:rPr>
              <w:t>，1个垃圾篓，1个电源插座。双开加</w:t>
            </w:r>
            <w:r>
              <w:rPr>
                <w:rFonts w:hint="eastAsia" w:ascii="宋体" w:hAnsi="宋体" w:eastAsia="宋体" w:cs="宋体"/>
                <w:color w:val="auto"/>
                <w:kern w:val="2"/>
                <w:sz w:val="24"/>
                <w:szCs w:val="24"/>
                <w:lang w:val="en-US" w:eastAsia="zh-CN"/>
              </w:rPr>
              <w:t>收</w:t>
            </w:r>
            <w:r>
              <w:rPr>
                <w:rFonts w:hint="eastAsia" w:ascii="宋体" w:hAnsi="宋体" w:eastAsia="宋体" w:cs="宋体"/>
                <w:color w:val="auto"/>
                <w:kern w:val="2"/>
                <w:sz w:val="24"/>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1242" w:type="dxa"/>
            <w:vMerge w:val="continue"/>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p>
        </w:tc>
        <w:tc>
          <w:tcPr>
            <w:tcW w:w="3119"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光地：3</w:t>
            </w:r>
            <w:r>
              <w:rPr>
                <w:rFonts w:hint="eastAsia" w:ascii="宋体" w:hAnsi="宋体" w:eastAsia="宋体" w:cs="宋体"/>
                <w:color w:val="auto"/>
                <w:kern w:val="2"/>
                <w:sz w:val="24"/>
                <w:szCs w:val="24"/>
                <w:lang w:val="en-US" w:eastAsia="zh-CN"/>
              </w:rPr>
              <w:t>150</w:t>
            </w:r>
            <w:r>
              <w:rPr>
                <w:rFonts w:hint="eastAsia" w:ascii="宋体" w:hAnsi="宋体" w:eastAsia="宋体" w:cs="宋体"/>
                <w:color w:val="auto"/>
                <w:kern w:val="2"/>
                <w:sz w:val="24"/>
                <w:szCs w:val="24"/>
              </w:rPr>
              <w:t>元/平米</w:t>
            </w:r>
          </w:p>
        </w:tc>
        <w:tc>
          <w:tcPr>
            <w:tcW w:w="5047"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42"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注册费</w:t>
            </w:r>
          </w:p>
        </w:tc>
        <w:tc>
          <w:tcPr>
            <w:tcW w:w="3119"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6900</w:t>
            </w:r>
            <w:r>
              <w:rPr>
                <w:rFonts w:hint="eastAsia" w:ascii="宋体" w:hAnsi="宋体" w:eastAsia="宋体" w:cs="宋体"/>
                <w:color w:val="auto"/>
                <w:kern w:val="2"/>
                <w:sz w:val="24"/>
                <w:szCs w:val="24"/>
              </w:rPr>
              <w:t>元/公司</w:t>
            </w:r>
          </w:p>
        </w:tc>
        <w:tc>
          <w:tcPr>
            <w:tcW w:w="5047" w:type="dxa"/>
            <w:noWrap w:val="0"/>
            <w:vAlign w:val="top"/>
          </w:tcPr>
          <w:p>
            <w:pPr>
              <w:autoSpaceDE w:val="0"/>
              <w:autoSpaceDN w:val="0"/>
              <w:spacing w:line="240" w:lineRule="auto"/>
              <w:jc w:val="left"/>
              <w:textAlignment w:val="auto"/>
              <w:rPr>
                <w:rFonts w:hint="eastAsia" w:ascii="宋体" w:hAnsi="宋体" w:eastAsia="宋体" w:cs="宋体"/>
                <w:color w:val="auto"/>
                <w:kern w:val="2"/>
                <w:sz w:val="24"/>
                <w:szCs w:val="24"/>
              </w:rPr>
            </w:pPr>
            <w:bookmarkStart w:id="6" w:name="OLE_LINK7"/>
            <w:bookmarkStart w:id="7" w:name="OLE_LINK6"/>
            <w:r>
              <w:rPr>
                <w:rFonts w:hint="eastAsia" w:ascii="宋体" w:hAnsi="宋体" w:eastAsia="宋体" w:cs="宋体"/>
                <w:color w:val="auto"/>
                <w:kern w:val="2"/>
                <w:sz w:val="24"/>
                <w:szCs w:val="24"/>
              </w:rPr>
              <w:t xml:space="preserve">包含邀函、会刊、进馆证等费用 </w:t>
            </w:r>
            <w:bookmarkEnd w:id="6"/>
            <w:bookmarkEnd w:id="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42"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报名费</w:t>
            </w:r>
          </w:p>
        </w:tc>
        <w:tc>
          <w:tcPr>
            <w:tcW w:w="3119"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3000</w:t>
            </w:r>
            <w:r>
              <w:rPr>
                <w:rFonts w:hint="eastAsia" w:ascii="宋体" w:hAnsi="宋体" w:eastAsia="宋体" w:cs="宋体"/>
                <w:color w:val="auto"/>
                <w:kern w:val="2"/>
                <w:sz w:val="24"/>
                <w:szCs w:val="24"/>
              </w:rPr>
              <w:t>元/公司</w:t>
            </w:r>
          </w:p>
        </w:tc>
        <w:tc>
          <w:tcPr>
            <w:tcW w:w="5047" w:type="dxa"/>
            <w:noWrap w:val="0"/>
            <w:vAlign w:val="top"/>
          </w:tcPr>
          <w:p>
            <w:pPr>
              <w:adjustRightInd/>
              <w:spacing w:line="400" w:lineRule="exac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国内外联络、资料准备等费用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42" w:type="dxa"/>
            <w:noWrap w:val="0"/>
            <w:vAlign w:val="center"/>
          </w:tcPr>
          <w:p>
            <w:pPr>
              <w:adjustRightInd/>
              <w:spacing w:line="400" w:lineRule="exact"/>
              <w:jc w:val="center"/>
              <w:textAlignment w:val="auto"/>
              <w:outlineLvl w:val="0"/>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运输费</w:t>
            </w:r>
          </w:p>
        </w:tc>
        <w:tc>
          <w:tcPr>
            <w:tcW w:w="3119"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以实际发生为准</w:t>
            </w:r>
          </w:p>
        </w:tc>
        <w:tc>
          <w:tcPr>
            <w:tcW w:w="5047" w:type="dxa"/>
            <w:noWrap w:val="0"/>
            <w:vAlign w:val="top"/>
          </w:tcPr>
          <w:p>
            <w:pPr>
              <w:adjustRightInd/>
              <w:spacing w:line="400" w:lineRule="exact"/>
              <w:jc w:val="left"/>
              <w:textAlignment w:val="auto"/>
              <w:outlineLvl w:val="0"/>
              <w:rPr>
                <w:rFonts w:hint="eastAsia" w:ascii="宋体" w:hAnsi="宋体" w:eastAsia="宋体" w:cs="宋体"/>
                <w:color w:val="auto"/>
                <w:kern w:val="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82F61"/>
    <w:multiLevelType w:val="multilevel"/>
    <w:tmpl w:val="3CA82F6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5C25B47"/>
    <w:multiLevelType w:val="multilevel"/>
    <w:tmpl w:val="45C25B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TJiODlhNzJiYjU2MWFlZjBjMzIwOGU0OTE1MDQifQ=="/>
  </w:docVars>
  <w:rsids>
    <w:rsidRoot w:val="40140C0F"/>
    <w:rsid w:val="4014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0"/>
      <w:szCs w:val="2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2024-02-29T07:49:00Z</dcterms:created>
  <dc:creator>王家蔚</dc:creator>
  <cp:lastModifiedBy>王家蔚</cp:lastModifiedBy>
  <dcterms:modified xsi:type="dcterms:W3CDTF">2024-02-29T07:49:48Z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C1EA9BDC14E54B759B419BE096EE46FA_11</vt:lpwstr>
  </property>
</Properties>
</file>